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D7" w:rsidRDefault="00C202D7" w:rsidP="003A0043">
      <w:pPr>
        <w:spacing w:before="100" w:beforeAutospacing="1" w:after="100" w:afterAutospacing="1" w:line="360" w:lineRule="auto"/>
        <w:jc w:val="center"/>
        <w:rPr>
          <w:rFonts w:cs="Times New Roman"/>
          <w:b/>
          <w:szCs w:val="24"/>
        </w:rPr>
      </w:pPr>
      <w:bookmarkStart w:id="0" w:name="_GoBack"/>
      <w:bookmarkEnd w:id="0"/>
      <w:r w:rsidRPr="00560960">
        <w:rPr>
          <w:rFonts w:cs="Times New Roman"/>
          <w:b/>
          <w:szCs w:val="24"/>
        </w:rPr>
        <w:t>Gobernanza de la sustentabilidad hídrica: Representaciones so</w:t>
      </w:r>
      <w:r w:rsidR="007F74A2">
        <w:rPr>
          <w:rFonts w:cs="Times New Roman"/>
          <w:b/>
          <w:szCs w:val="24"/>
        </w:rPr>
        <w:t>ciopolíticas</w:t>
      </w:r>
      <w:r w:rsidRPr="00560960">
        <w:rPr>
          <w:rFonts w:cs="Times New Roman"/>
          <w:b/>
          <w:szCs w:val="24"/>
        </w:rPr>
        <w:t xml:space="preserve"> en torno al tandeo en una </w:t>
      </w:r>
      <w:r w:rsidR="00855142">
        <w:rPr>
          <w:rFonts w:cs="Times New Roman"/>
          <w:b/>
          <w:szCs w:val="24"/>
        </w:rPr>
        <w:t>demarcación</w:t>
      </w:r>
      <w:r w:rsidRPr="00560960">
        <w:rPr>
          <w:rFonts w:cs="Times New Roman"/>
          <w:b/>
          <w:szCs w:val="24"/>
        </w:rPr>
        <w:t xml:space="preserve"> de la Ciudad de México </w:t>
      </w:r>
    </w:p>
    <w:p w:rsidR="0083320E" w:rsidRPr="0083320E" w:rsidRDefault="0083320E" w:rsidP="003A0043">
      <w:pPr>
        <w:spacing w:before="100" w:beforeAutospacing="1" w:after="100" w:afterAutospacing="1" w:line="360" w:lineRule="auto"/>
        <w:jc w:val="center"/>
        <w:rPr>
          <w:rFonts w:cs="Times New Roman"/>
          <w:szCs w:val="24"/>
        </w:rPr>
      </w:pPr>
      <w:r>
        <w:rPr>
          <w:rFonts w:cs="Times New Roman"/>
          <w:szCs w:val="24"/>
        </w:rPr>
        <w:t>Gerardo Arturo Limón Domínguez</w:t>
      </w:r>
      <w:r>
        <w:rPr>
          <w:rStyle w:val="Refdenotaalpie"/>
          <w:rFonts w:cs="Times New Roman"/>
          <w:szCs w:val="24"/>
        </w:rPr>
        <w:footnoteReference w:id="1"/>
      </w:r>
      <w:r>
        <w:rPr>
          <w:rFonts w:cs="Times New Roman"/>
          <w:szCs w:val="24"/>
        </w:rPr>
        <w:t>, Margarita Juárez Nájera</w:t>
      </w:r>
      <w:r>
        <w:rPr>
          <w:rStyle w:val="Refdenotaalpie"/>
          <w:rFonts w:cs="Times New Roman"/>
          <w:szCs w:val="24"/>
        </w:rPr>
        <w:footnoteReference w:id="2"/>
      </w:r>
      <w:r>
        <w:rPr>
          <w:rFonts w:cs="Times New Roman"/>
          <w:szCs w:val="24"/>
        </w:rPr>
        <w:t>, José Marcos Bustos Aguayo</w:t>
      </w:r>
      <w:r>
        <w:rPr>
          <w:rStyle w:val="Refdenotaalpie"/>
          <w:rFonts w:cs="Times New Roman"/>
          <w:szCs w:val="24"/>
        </w:rPr>
        <w:footnoteReference w:id="3"/>
      </w:r>
      <w:r>
        <w:rPr>
          <w:rFonts w:cs="Times New Roman"/>
          <w:szCs w:val="24"/>
        </w:rPr>
        <w:t>, Bertha Leticia Rivera Varela</w:t>
      </w:r>
      <w:r>
        <w:rPr>
          <w:rStyle w:val="Refdenotaalpie"/>
          <w:rFonts w:cs="Times New Roman"/>
          <w:szCs w:val="24"/>
        </w:rPr>
        <w:footnoteReference w:id="4"/>
      </w:r>
      <w:r>
        <w:rPr>
          <w:rFonts w:cs="Times New Roman"/>
          <w:szCs w:val="24"/>
        </w:rPr>
        <w:t>, Cruz García Lirios</w:t>
      </w:r>
      <w:r>
        <w:rPr>
          <w:rStyle w:val="Refdenotaalpie"/>
          <w:rFonts w:cs="Times New Roman"/>
          <w:szCs w:val="24"/>
        </w:rPr>
        <w:footnoteReference w:id="5"/>
      </w:r>
      <w:r>
        <w:rPr>
          <w:rFonts w:cs="Times New Roman"/>
          <w:szCs w:val="24"/>
        </w:rPr>
        <w:t xml:space="preserve"> </w:t>
      </w:r>
    </w:p>
    <w:p w:rsidR="00560960" w:rsidRDefault="00560960" w:rsidP="003A0043">
      <w:pPr>
        <w:spacing w:before="100" w:beforeAutospacing="1" w:after="100" w:afterAutospacing="1" w:line="360" w:lineRule="auto"/>
        <w:ind w:left="567" w:hanging="567"/>
        <w:jc w:val="both"/>
        <w:rPr>
          <w:rFonts w:cs="Times New Roman"/>
          <w:b/>
          <w:szCs w:val="24"/>
        </w:rPr>
      </w:pPr>
      <w:r>
        <w:rPr>
          <w:rFonts w:cs="Times New Roman"/>
          <w:b/>
          <w:szCs w:val="24"/>
        </w:rPr>
        <w:t xml:space="preserve">Resumen </w:t>
      </w:r>
    </w:p>
    <w:p w:rsidR="00787E52" w:rsidRPr="00787E52" w:rsidRDefault="005413D9" w:rsidP="005413D9">
      <w:pPr>
        <w:spacing w:before="100" w:beforeAutospacing="1" w:after="100" w:afterAutospacing="1" w:line="360" w:lineRule="auto"/>
        <w:jc w:val="both"/>
        <w:rPr>
          <w:rFonts w:cs="Times New Roman"/>
          <w:szCs w:val="24"/>
        </w:rPr>
      </w:pPr>
      <w:r>
        <w:rPr>
          <w:rFonts w:cs="Times New Roman"/>
          <w:szCs w:val="24"/>
        </w:rPr>
        <w:t xml:space="preserve">Se revisan los estudios de la calidad y el coste del servicio de agua que desde la psicología de la sustentabilidad y la psicología social de las representaciones se han venido reportando de 2010 a la fecha con la intención de explorar dos dimensiones preponderantes: la objetivación o expectativa de abastecimiento hídrico gratuito y el anclaje o expectativa de calidad del servicio de abastecimiento. Para tal fin, se llevó a cabo un estudio no experimental, exploratorio y transversal con una selección no probabilística de 245 locatarios de una demarcación de la Ciudad de México. Los resultados confirman una estructura dual, pero el tipo de diseño y selección de la muestra limitan los hallazgos a la muestra de estudio y en el contexto electoral en que fueron encuestados. </w:t>
      </w:r>
      <w:r w:rsidR="00A15F71">
        <w:rPr>
          <w:rFonts w:cs="Times New Roman"/>
          <w:szCs w:val="24"/>
        </w:rPr>
        <w:t xml:space="preserve">Sin embargo, se recomiendan líneas de investigación alusivas a la comparación entre los constructos de representaciones sociales y representaciones sociopolíticas tanto en escenarios electorales como libres de proselitismo y contienda política. </w:t>
      </w:r>
    </w:p>
    <w:p w:rsidR="00560960" w:rsidRDefault="00560960" w:rsidP="003A0043">
      <w:pPr>
        <w:spacing w:before="100" w:beforeAutospacing="1" w:after="100" w:afterAutospacing="1" w:line="360" w:lineRule="auto"/>
        <w:ind w:left="567" w:hanging="567"/>
        <w:jc w:val="both"/>
        <w:rPr>
          <w:rFonts w:cs="Times New Roman"/>
          <w:b/>
          <w:szCs w:val="24"/>
        </w:rPr>
      </w:pPr>
      <w:r>
        <w:rPr>
          <w:rFonts w:cs="Times New Roman"/>
          <w:b/>
          <w:szCs w:val="24"/>
        </w:rPr>
        <w:t>Palabras clave</w:t>
      </w:r>
    </w:p>
    <w:p w:rsidR="00B413C5" w:rsidRPr="00B413C5" w:rsidRDefault="00B413C5" w:rsidP="003A0043">
      <w:pPr>
        <w:spacing w:before="100" w:beforeAutospacing="1" w:after="100" w:afterAutospacing="1" w:line="360" w:lineRule="auto"/>
        <w:ind w:left="567" w:hanging="567"/>
        <w:jc w:val="both"/>
        <w:rPr>
          <w:rFonts w:cs="Times New Roman"/>
          <w:szCs w:val="24"/>
        </w:rPr>
      </w:pPr>
      <w:r>
        <w:rPr>
          <w:rFonts w:cs="Times New Roman"/>
          <w:szCs w:val="24"/>
        </w:rPr>
        <w:t xml:space="preserve">Gobernanza, representaciones, objetivación, anclaje, recursos hídricos </w:t>
      </w:r>
    </w:p>
    <w:p w:rsidR="0083320E" w:rsidRDefault="0083320E" w:rsidP="0083320E">
      <w:pPr>
        <w:spacing w:before="100" w:beforeAutospacing="1" w:after="100" w:afterAutospacing="1" w:line="360" w:lineRule="auto"/>
        <w:ind w:left="567" w:hanging="567"/>
        <w:jc w:val="center"/>
        <w:rPr>
          <w:rFonts w:cs="Times New Roman"/>
          <w:b/>
          <w:szCs w:val="24"/>
          <w:lang w:val="en-US"/>
        </w:rPr>
      </w:pPr>
    </w:p>
    <w:p w:rsidR="0083320E" w:rsidRDefault="0083320E" w:rsidP="0083320E">
      <w:pPr>
        <w:spacing w:before="100" w:beforeAutospacing="1" w:after="100" w:afterAutospacing="1" w:line="360" w:lineRule="auto"/>
        <w:ind w:left="567" w:hanging="567"/>
        <w:jc w:val="center"/>
        <w:rPr>
          <w:rFonts w:cs="Times New Roman"/>
          <w:b/>
          <w:szCs w:val="24"/>
          <w:lang w:val="en-US"/>
        </w:rPr>
      </w:pPr>
    </w:p>
    <w:p w:rsidR="0083320E" w:rsidRDefault="0083320E" w:rsidP="0083320E">
      <w:pPr>
        <w:spacing w:before="100" w:beforeAutospacing="1" w:after="100" w:afterAutospacing="1" w:line="360" w:lineRule="auto"/>
        <w:ind w:left="567" w:hanging="567"/>
        <w:jc w:val="center"/>
        <w:rPr>
          <w:rFonts w:cs="Times New Roman"/>
          <w:b/>
          <w:szCs w:val="24"/>
          <w:lang w:val="en-US"/>
        </w:rPr>
      </w:pPr>
    </w:p>
    <w:p w:rsidR="0083320E" w:rsidRPr="0083320E" w:rsidRDefault="0083320E" w:rsidP="0083320E">
      <w:pPr>
        <w:spacing w:before="100" w:beforeAutospacing="1" w:after="100" w:afterAutospacing="1" w:line="360" w:lineRule="auto"/>
        <w:ind w:left="567" w:hanging="567"/>
        <w:jc w:val="center"/>
        <w:rPr>
          <w:rFonts w:cs="Times New Roman"/>
          <w:b/>
          <w:szCs w:val="24"/>
          <w:lang w:val="en-US"/>
        </w:rPr>
      </w:pPr>
      <w:r w:rsidRPr="0083320E">
        <w:rPr>
          <w:rFonts w:cs="Times New Roman"/>
          <w:b/>
          <w:szCs w:val="24"/>
          <w:lang w:val="en-US"/>
        </w:rPr>
        <w:lastRenderedPageBreak/>
        <w:t xml:space="preserve">Governance of the water sustainability: Sociopolitical representations around the </w:t>
      </w:r>
      <w:proofErr w:type="spellStart"/>
      <w:r w:rsidRPr="0083320E">
        <w:rPr>
          <w:rFonts w:cs="Times New Roman"/>
          <w:b/>
          <w:szCs w:val="24"/>
          <w:lang w:val="en-US"/>
        </w:rPr>
        <w:t>tandeo</w:t>
      </w:r>
      <w:proofErr w:type="spellEnd"/>
      <w:r w:rsidRPr="0083320E">
        <w:rPr>
          <w:rFonts w:cs="Times New Roman"/>
          <w:b/>
          <w:szCs w:val="24"/>
          <w:lang w:val="en-US"/>
        </w:rPr>
        <w:t xml:space="preserve"> in a demarcation of the City of Mexico</w:t>
      </w:r>
    </w:p>
    <w:p w:rsidR="0083320E" w:rsidRDefault="0083320E" w:rsidP="0083320E">
      <w:pPr>
        <w:spacing w:before="100" w:beforeAutospacing="1" w:after="100" w:afterAutospacing="1" w:line="360" w:lineRule="auto"/>
        <w:jc w:val="both"/>
        <w:rPr>
          <w:rFonts w:cs="Times New Roman"/>
          <w:szCs w:val="24"/>
          <w:lang w:val="en-US"/>
        </w:rPr>
      </w:pPr>
      <w:r w:rsidRPr="0083320E">
        <w:rPr>
          <w:rFonts w:cs="Times New Roman"/>
          <w:b/>
          <w:szCs w:val="24"/>
          <w:lang w:val="en-US"/>
        </w:rPr>
        <w:t>Abstract</w:t>
      </w:r>
      <w:r>
        <w:rPr>
          <w:rFonts w:cs="Times New Roman"/>
          <w:szCs w:val="24"/>
          <w:lang w:val="en-US"/>
        </w:rPr>
        <w:t xml:space="preserve"> </w:t>
      </w:r>
    </w:p>
    <w:p w:rsidR="0083320E" w:rsidRPr="0083320E" w:rsidRDefault="0083320E" w:rsidP="0083320E">
      <w:pPr>
        <w:spacing w:before="100" w:beforeAutospacing="1" w:after="100" w:afterAutospacing="1" w:line="360" w:lineRule="auto"/>
        <w:jc w:val="both"/>
        <w:rPr>
          <w:rFonts w:cs="Times New Roman"/>
          <w:szCs w:val="24"/>
          <w:lang w:val="en-US"/>
        </w:rPr>
      </w:pPr>
      <w:r w:rsidRPr="0083320E">
        <w:rPr>
          <w:rFonts w:cs="Times New Roman"/>
          <w:szCs w:val="24"/>
          <w:lang w:val="en-US"/>
        </w:rPr>
        <w:t xml:space="preserve">We review the studies of the quality and cost of the water service that from the psychology of sustainability and the social psychology of the representations have been reported from 2010 to date with the intention of exploring two preponderant dimensions: objectification or expectation </w:t>
      </w:r>
      <w:proofErr w:type="gramStart"/>
      <w:r w:rsidRPr="0083320E">
        <w:rPr>
          <w:rFonts w:cs="Times New Roman"/>
          <w:szCs w:val="24"/>
          <w:lang w:val="en-US"/>
        </w:rPr>
        <w:t>Of</w:t>
      </w:r>
      <w:proofErr w:type="gramEnd"/>
      <w:r w:rsidRPr="0083320E">
        <w:rPr>
          <w:rFonts w:cs="Times New Roman"/>
          <w:szCs w:val="24"/>
          <w:lang w:val="en-US"/>
        </w:rPr>
        <w:t xml:space="preserve"> free water supply and the anchorage or expectation of quality of the supply service. For this purpose, a non-experimental, exploratory and cross-sectional study was carried out with a non-probabilistic selection of 245 tenants from a demarcation of Mexico City. The results confirm a dual structure, but the type of design and sample selection limit the findings to the study sample and the electoral context in which they were surveyed. Nevertheless, lines of research are recommended, alluding to the comparison between the constructs of social representations and socio-political representations, both in electoral scenarios and free from proselytism and political strife.</w:t>
      </w:r>
    </w:p>
    <w:p w:rsidR="0083320E" w:rsidRPr="0083320E" w:rsidRDefault="0083320E" w:rsidP="0083320E">
      <w:pPr>
        <w:spacing w:before="100" w:beforeAutospacing="1" w:after="100" w:afterAutospacing="1" w:line="360" w:lineRule="auto"/>
        <w:ind w:left="567" w:hanging="567"/>
        <w:jc w:val="both"/>
        <w:rPr>
          <w:rFonts w:cs="Times New Roman"/>
          <w:szCs w:val="24"/>
          <w:lang w:val="en-US"/>
        </w:rPr>
      </w:pPr>
      <w:r w:rsidRPr="0083320E">
        <w:rPr>
          <w:rFonts w:cs="Times New Roman"/>
          <w:b/>
          <w:szCs w:val="24"/>
          <w:lang w:val="en-US"/>
        </w:rPr>
        <w:t>Keywords</w:t>
      </w:r>
    </w:p>
    <w:p w:rsidR="0083320E" w:rsidRPr="0083320E" w:rsidRDefault="0083320E" w:rsidP="0083320E">
      <w:pPr>
        <w:spacing w:before="100" w:beforeAutospacing="1" w:after="100" w:afterAutospacing="1" w:line="360" w:lineRule="auto"/>
        <w:ind w:left="567" w:hanging="567"/>
        <w:jc w:val="both"/>
        <w:rPr>
          <w:rFonts w:cs="Times New Roman"/>
          <w:szCs w:val="24"/>
          <w:lang w:val="en-US"/>
        </w:rPr>
      </w:pPr>
      <w:r w:rsidRPr="0083320E">
        <w:rPr>
          <w:rFonts w:cs="Times New Roman"/>
          <w:szCs w:val="24"/>
          <w:lang w:val="en-US"/>
        </w:rPr>
        <w:t>Governance, representations, objectification, anchoring, water resources</w:t>
      </w:r>
    </w:p>
    <w:p w:rsidR="00560960" w:rsidRDefault="00560960" w:rsidP="003A0043">
      <w:pPr>
        <w:spacing w:before="100" w:beforeAutospacing="1" w:after="100" w:afterAutospacing="1" w:line="360" w:lineRule="auto"/>
        <w:ind w:left="567" w:hanging="567"/>
        <w:jc w:val="both"/>
        <w:rPr>
          <w:rFonts w:cs="Times New Roman"/>
          <w:b/>
          <w:szCs w:val="24"/>
        </w:rPr>
      </w:pPr>
      <w:r>
        <w:rPr>
          <w:rFonts w:cs="Times New Roman"/>
          <w:b/>
          <w:szCs w:val="24"/>
        </w:rPr>
        <w:t>Introducción</w:t>
      </w:r>
    </w:p>
    <w:p w:rsidR="00027A18" w:rsidRDefault="00027A18" w:rsidP="003A0043">
      <w:pPr>
        <w:spacing w:before="100" w:beforeAutospacing="1" w:after="100" w:afterAutospacing="1" w:line="360" w:lineRule="auto"/>
        <w:jc w:val="both"/>
        <w:rPr>
          <w:rFonts w:cs="Times New Roman"/>
          <w:szCs w:val="24"/>
        </w:rPr>
      </w:pPr>
      <w:r>
        <w:rPr>
          <w:rFonts w:cs="Times New Roman"/>
          <w:szCs w:val="24"/>
        </w:rPr>
        <w:t xml:space="preserve">Los estudios de las representaciones sociales de la sustentabilidad en general y de la sustentabilidad hídrica </w:t>
      </w:r>
      <w:r w:rsidR="000809CB">
        <w:rPr>
          <w:rFonts w:cs="Times New Roman"/>
          <w:szCs w:val="24"/>
        </w:rPr>
        <w:t xml:space="preserve">(véase Tabla 2 y 3 en el anexo) </w:t>
      </w:r>
      <w:r>
        <w:rPr>
          <w:rFonts w:cs="Times New Roman"/>
          <w:szCs w:val="24"/>
        </w:rPr>
        <w:t>en particular advierten que dos dimensiones relativas a la objetivación y al anclaje de símbolos cuyos significados adquieren un sentido de ahorro cuando se representa una escasez y de dispendio cuando se representa una abundancia de agua</w:t>
      </w:r>
      <w:r w:rsidR="00E835E4">
        <w:rPr>
          <w:rFonts w:cs="Times New Roman"/>
          <w:szCs w:val="24"/>
        </w:rPr>
        <w:t xml:space="preserve"> (Soto, 2012)</w:t>
      </w:r>
      <w:r>
        <w:rPr>
          <w:rFonts w:cs="Times New Roman"/>
          <w:szCs w:val="24"/>
        </w:rPr>
        <w:t xml:space="preserve">. </w:t>
      </w:r>
    </w:p>
    <w:p w:rsidR="0064406D" w:rsidRDefault="00B5358E" w:rsidP="003A0043">
      <w:pPr>
        <w:spacing w:before="100" w:beforeAutospacing="1" w:after="100" w:afterAutospacing="1" w:line="360" w:lineRule="auto"/>
        <w:jc w:val="both"/>
        <w:rPr>
          <w:rFonts w:cs="Times New Roman"/>
          <w:szCs w:val="24"/>
        </w:rPr>
      </w:pPr>
      <w:r>
        <w:rPr>
          <w:rFonts w:cs="Times New Roman"/>
          <w:szCs w:val="24"/>
        </w:rPr>
        <w:t>La objetivación refiere al proceso en el que los objetos se seleccionan y se descontextualizan con la finalidad de formar un núcleo figurativa sobre el giran las demás simbolizaciones periféricas</w:t>
      </w:r>
      <w:r w:rsidR="00E835E4">
        <w:rPr>
          <w:rFonts w:cs="Times New Roman"/>
          <w:szCs w:val="24"/>
        </w:rPr>
        <w:t xml:space="preserve"> (Anaya, 2014)</w:t>
      </w:r>
      <w:r>
        <w:rPr>
          <w:rFonts w:cs="Times New Roman"/>
          <w:szCs w:val="24"/>
        </w:rPr>
        <w:t xml:space="preserve">. De este modo, si el núcleo de representación consiste en creencias de escasez, entonces las políticas de abastecimiento por tandeo serán debidamente aceptadas y acorde con ellas se gestará una austeridad. En contraste, si el </w:t>
      </w:r>
      <w:r>
        <w:rPr>
          <w:rFonts w:cs="Times New Roman"/>
          <w:szCs w:val="24"/>
        </w:rPr>
        <w:lastRenderedPageBreak/>
        <w:t>núcleo figurativo refiere más bien a la abundancia de agua, entonces los usuarios del servi</w:t>
      </w:r>
      <w:r w:rsidR="00161425">
        <w:rPr>
          <w:rFonts w:cs="Times New Roman"/>
          <w:szCs w:val="24"/>
        </w:rPr>
        <w:t>cio de agua potable desarrollará</w:t>
      </w:r>
      <w:r>
        <w:rPr>
          <w:rFonts w:cs="Times New Roman"/>
          <w:szCs w:val="24"/>
        </w:rPr>
        <w:t xml:space="preserve">n estilos de vida de derroche e incluso justificarán sus comportamientos a partir de sus necesidades de desarrollo personal, familiar o social. </w:t>
      </w:r>
    </w:p>
    <w:p w:rsidR="00736AC4" w:rsidRDefault="0064406D" w:rsidP="003A0043">
      <w:pPr>
        <w:spacing w:before="100" w:beforeAutospacing="1" w:after="100" w:afterAutospacing="1" w:line="360" w:lineRule="auto"/>
        <w:jc w:val="both"/>
        <w:rPr>
          <w:rFonts w:cs="Times New Roman"/>
          <w:szCs w:val="24"/>
        </w:rPr>
      </w:pPr>
      <w:r>
        <w:rPr>
          <w:rFonts w:cs="Times New Roman"/>
          <w:szCs w:val="24"/>
        </w:rPr>
        <w:t xml:space="preserve">El anclaje </w:t>
      </w:r>
      <w:r w:rsidR="00161425">
        <w:rPr>
          <w:rFonts w:cs="Times New Roman"/>
          <w:szCs w:val="24"/>
        </w:rPr>
        <w:t>complementa la objetivación ya que, si la ciudadanía construye un edificio teórico con esquemas de abundancia o escasez de agua, la siguiente fase consistirá en vincular tal representación en los usos y costumbres locales</w:t>
      </w:r>
      <w:r w:rsidR="00E835E4">
        <w:rPr>
          <w:rFonts w:cs="Times New Roman"/>
          <w:szCs w:val="24"/>
        </w:rPr>
        <w:t xml:space="preserve"> (Flores, 2013)</w:t>
      </w:r>
      <w:r w:rsidR="00161425">
        <w:rPr>
          <w:rFonts w:cs="Times New Roman"/>
          <w:szCs w:val="24"/>
        </w:rPr>
        <w:t>. Es el caso de las zonas residenciales que están inscritas en una visión</w:t>
      </w:r>
      <w:r w:rsidR="00B5358E">
        <w:rPr>
          <w:rFonts w:cs="Times New Roman"/>
          <w:szCs w:val="24"/>
        </w:rPr>
        <w:t xml:space="preserve"> </w:t>
      </w:r>
      <w:r w:rsidR="00161425">
        <w:rPr>
          <w:rFonts w:cs="Times New Roman"/>
          <w:szCs w:val="24"/>
        </w:rPr>
        <w:t xml:space="preserve">de confort en el que el consumo de agua se traduce en un núcleo de disponibilidad permanente y gratuito del agua para las zonas que pagan sus impuestos y tarifas del servicio de agua potable. Tal núcleo de confort es inmediatamente asociado al derecho al agua, así como al suministro permanente y sólo justificable su intermitencia a partir de una contingencia ambiental. </w:t>
      </w:r>
    </w:p>
    <w:p w:rsidR="00736AC4" w:rsidRDefault="00736AC4" w:rsidP="003A0043">
      <w:pPr>
        <w:spacing w:before="100" w:beforeAutospacing="1" w:after="100" w:afterAutospacing="1" w:line="360" w:lineRule="auto"/>
        <w:jc w:val="both"/>
        <w:rPr>
          <w:rFonts w:cs="Times New Roman"/>
          <w:szCs w:val="24"/>
        </w:rPr>
      </w:pPr>
      <w:r>
        <w:rPr>
          <w:rFonts w:cs="Times New Roman"/>
          <w:szCs w:val="24"/>
        </w:rPr>
        <w:t>Sin embargo, los aportes de los estudios de las representaciones sociales no han sido vinculados con los hallazgos de los estudios psicológicos de la sustentabilidad</w:t>
      </w:r>
      <w:r w:rsidR="00E835E4">
        <w:rPr>
          <w:rFonts w:cs="Times New Roman"/>
          <w:szCs w:val="24"/>
        </w:rPr>
        <w:t xml:space="preserve"> (Pérez y Soler, </w:t>
      </w:r>
      <w:r w:rsidR="00E835E4" w:rsidRPr="00560960">
        <w:rPr>
          <w:rFonts w:cs="Times New Roman"/>
          <w:szCs w:val="24"/>
        </w:rPr>
        <w:t>2013)</w:t>
      </w:r>
      <w:r>
        <w:rPr>
          <w:rFonts w:cs="Times New Roman"/>
          <w:szCs w:val="24"/>
        </w:rPr>
        <w:t xml:space="preserve">. Mientras que la psicología de la sustentabilidad ha establecido como predictor del uso de agua a las creencias antropocéntricas </w:t>
      </w:r>
      <w:r w:rsidR="0083194A">
        <w:rPr>
          <w:rFonts w:cs="Times New Roman"/>
          <w:szCs w:val="24"/>
        </w:rPr>
        <w:t xml:space="preserve">y </w:t>
      </w:r>
      <w:proofErr w:type="spellStart"/>
      <w:r w:rsidR="0083194A">
        <w:rPr>
          <w:rFonts w:cs="Times New Roman"/>
          <w:szCs w:val="24"/>
        </w:rPr>
        <w:t>ecocé</w:t>
      </w:r>
      <w:r>
        <w:rPr>
          <w:rFonts w:cs="Times New Roman"/>
          <w:szCs w:val="24"/>
        </w:rPr>
        <w:t>ntricas</w:t>
      </w:r>
      <w:proofErr w:type="spellEnd"/>
      <w:r>
        <w:rPr>
          <w:rFonts w:cs="Times New Roman"/>
          <w:szCs w:val="24"/>
        </w:rPr>
        <w:t xml:space="preserve">, ambas consistentes en visiones del mundo sesgadamente en contra o a favor de los derechos de las especies actuales y futuras por consumir los recursos naturales, preservando una reserva que garantice las capacidades de generaciones venideras, </w:t>
      </w:r>
      <w:r w:rsidR="0087171F">
        <w:rPr>
          <w:rFonts w:cs="Times New Roman"/>
          <w:szCs w:val="24"/>
        </w:rPr>
        <w:t xml:space="preserve">la psicología de las representaciones sociales </w:t>
      </w:r>
      <w:r w:rsidR="002A4420">
        <w:rPr>
          <w:rFonts w:cs="Times New Roman"/>
          <w:szCs w:val="24"/>
        </w:rPr>
        <w:t xml:space="preserve">advierte que tales creencias son parte de una ideología que se materializa en un sistema de cobro y pago por el acceso al consumo del agua. </w:t>
      </w:r>
    </w:p>
    <w:p w:rsidR="00B5358E" w:rsidRDefault="00736AC4" w:rsidP="003A0043">
      <w:pPr>
        <w:spacing w:before="100" w:beforeAutospacing="1" w:after="100" w:afterAutospacing="1" w:line="360" w:lineRule="auto"/>
        <w:jc w:val="both"/>
        <w:rPr>
          <w:rFonts w:cs="Times New Roman"/>
          <w:szCs w:val="24"/>
        </w:rPr>
      </w:pPr>
      <w:r>
        <w:rPr>
          <w:rFonts w:cs="Times New Roman"/>
          <w:szCs w:val="24"/>
        </w:rPr>
        <w:t xml:space="preserve">En esa virtud el objetivo del presente estudio es establecer una correlación entre las representaciones de objetivación y anclaje con respecto a las creencias antropocéntricas y </w:t>
      </w:r>
      <w:proofErr w:type="spellStart"/>
      <w:r>
        <w:rPr>
          <w:rFonts w:cs="Times New Roman"/>
          <w:szCs w:val="24"/>
        </w:rPr>
        <w:t>ecocentricas</w:t>
      </w:r>
      <w:proofErr w:type="spellEnd"/>
      <w:r w:rsidR="001642BB">
        <w:rPr>
          <w:rFonts w:cs="Times New Roman"/>
          <w:szCs w:val="24"/>
        </w:rPr>
        <w:t>.</w:t>
      </w:r>
      <w:r>
        <w:rPr>
          <w:rFonts w:cs="Times New Roman"/>
          <w:szCs w:val="24"/>
        </w:rPr>
        <w:t xml:space="preserve">  </w:t>
      </w:r>
      <w:r w:rsidR="00161425">
        <w:rPr>
          <w:rFonts w:cs="Times New Roman"/>
          <w:szCs w:val="24"/>
        </w:rPr>
        <w:t xml:space="preserve"> </w:t>
      </w:r>
    </w:p>
    <w:p w:rsidR="00027A18" w:rsidRDefault="00027A18" w:rsidP="003A0043">
      <w:pPr>
        <w:spacing w:before="100" w:beforeAutospacing="1" w:after="100" w:afterAutospacing="1" w:line="360" w:lineRule="auto"/>
        <w:jc w:val="both"/>
        <w:rPr>
          <w:rFonts w:cs="Times New Roman"/>
          <w:szCs w:val="24"/>
        </w:rPr>
      </w:pPr>
      <w:r>
        <w:rPr>
          <w:rFonts w:cs="Times New Roman"/>
          <w:szCs w:val="24"/>
        </w:rPr>
        <w:t xml:space="preserve">Carreón et al., (2014) vincula las representaciones de escasez y abundancia con las creencias </w:t>
      </w:r>
      <w:proofErr w:type="spellStart"/>
      <w:r>
        <w:rPr>
          <w:rFonts w:cs="Times New Roman"/>
          <w:szCs w:val="24"/>
        </w:rPr>
        <w:t>ecocentricas</w:t>
      </w:r>
      <w:proofErr w:type="spellEnd"/>
      <w:r>
        <w:rPr>
          <w:rFonts w:cs="Times New Roman"/>
          <w:szCs w:val="24"/>
        </w:rPr>
        <w:t xml:space="preserve"> y antropocéntricas al señalar que cada una de ellas deriva del establecimiento de una agenda cuyos temas giran en torno a la disponibilidad del agua y su uso entre los actores económicos, institucionales y civiles. </w:t>
      </w:r>
      <w:r w:rsidR="00B5358E">
        <w:rPr>
          <w:rFonts w:cs="Times New Roman"/>
          <w:szCs w:val="24"/>
        </w:rPr>
        <w:t xml:space="preserve">En este escenario de difusión informativa, las representaciones sociales </w:t>
      </w:r>
      <w:r w:rsidR="00E251AA">
        <w:rPr>
          <w:rFonts w:cs="Times New Roman"/>
          <w:szCs w:val="24"/>
        </w:rPr>
        <w:t>son transmisoras de la agenda mediática e inciden en las opiniones públicas, así com</w:t>
      </w:r>
      <w:r w:rsidR="006E623A">
        <w:rPr>
          <w:rFonts w:cs="Times New Roman"/>
          <w:szCs w:val="24"/>
        </w:rPr>
        <w:t xml:space="preserve">o en las iniciativas de políticas hídricas. </w:t>
      </w:r>
    </w:p>
    <w:p w:rsidR="00D722FF" w:rsidRDefault="009226C5" w:rsidP="003A0043">
      <w:pPr>
        <w:spacing w:before="100" w:beforeAutospacing="1" w:after="100" w:afterAutospacing="1" w:line="360" w:lineRule="auto"/>
        <w:jc w:val="both"/>
        <w:rPr>
          <w:rFonts w:cs="Times New Roman"/>
          <w:szCs w:val="24"/>
        </w:rPr>
      </w:pPr>
      <w:r>
        <w:rPr>
          <w:rFonts w:cs="Times New Roman"/>
          <w:szCs w:val="24"/>
        </w:rPr>
        <w:lastRenderedPageBreak/>
        <w:t xml:space="preserve">No obstante, </w:t>
      </w:r>
      <w:r w:rsidR="00D722FF">
        <w:rPr>
          <w:rFonts w:cs="Times New Roman"/>
          <w:szCs w:val="24"/>
        </w:rPr>
        <w:t xml:space="preserve">Aguilar, Carreón, García, Hernández y Rosas, (2015) </w:t>
      </w:r>
      <w:r>
        <w:rPr>
          <w:rFonts w:cs="Times New Roman"/>
          <w:szCs w:val="24"/>
        </w:rPr>
        <w:t>consideran que las representaciones sociales de objetivación y anclaje de las políticas de abastecimiento hídrico son más bien resultado de creencias locales en torno a los derechos de acceso al agua. Plantean que</w:t>
      </w:r>
      <w:r w:rsidR="00662801">
        <w:rPr>
          <w:rFonts w:cs="Times New Roman"/>
          <w:szCs w:val="24"/>
        </w:rPr>
        <w:t>,</w:t>
      </w:r>
      <w:r>
        <w:rPr>
          <w:rFonts w:cs="Times New Roman"/>
          <w:szCs w:val="24"/>
        </w:rPr>
        <w:t xml:space="preserve"> </w:t>
      </w:r>
      <w:r w:rsidR="008402D5">
        <w:rPr>
          <w:rFonts w:cs="Times New Roman"/>
          <w:szCs w:val="24"/>
        </w:rPr>
        <w:t xml:space="preserve">a nivel local, los usos y costumbres de propiedad son más significativos que las creencias de abundancia y escasez agua al demostrar que en situaciones de contingencia ambiental, desastre natural, crisis ecológica o simplemente festividad oriunda, el agua se comparte y se distribuye comunitariamente mediante el </w:t>
      </w:r>
      <w:r w:rsidR="008402D5" w:rsidRPr="008402D5">
        <w:rPr>
          <w:rFonts w:cs="Times New Roman"/>
          <w:i/>
          <w:szCs w:val="24"/>
        </w:rPr>
        <w:t>tequio</w:t>
      </w:r>
      <w:r w:rsidR="008402D5">
        <w:rPr>
          <w:rFonts w:cs="Times New Roman"/>
          <w:szCs w:val="24"/>
        </w:rPr>
        <w:t xml:space="preserve"> y la </w:t>
      </w:r>
      <w:proofErr w:type="spellStart"/>
      <w:r w:rsidR="008402D5" w:rsidRPr="008402D5">
        <w:rPr>
          <w:rFonts w:cs="Times New Roman"/>
          <w:i/>
          <w:szCs w:val="24"/>
        </w:rPr>
        <w:t>guatza</w:t>
      </w:r>
      <w:proofErr w:type="spellEnd"/>
      <w:r w:rsidR="008402D5">
        <w:rPr>
          <w:rFonts w:cs="Times New Roman"/>
          <w:szCs w:val="24"/>
        </w:rPr>
        <w:t>, dos formas cooperativas y de trueque observadas en las comunidades que auto</w:t>
      </w:r>
      <w:r w:rsidR="0083194A">
        <w:rPr>
          <w:rFonts w:cs="Times New Roman"/>
          <w:szCs w:val="24"/>
        </w:rPr>
        <w:t>-</w:t>
      </w:r>
      <w:r w:rsidR="008402D5">
        <w:rPr>
          <w:rFonts w:cs="Times New Roman"/>
          <w:szCs w:val="24"/>
        </w:rPr>
        <w:t xml:space="preserve">gestionan recursos hídricos. </w:t>
      </w:r>
    </w:p>
    <w:p w:rsidR="00662801" w:rsidRDefault="00662801" w:rsidP="003A0043">
      <w:pPr>
        <w:spacing w:before="100" w:beforeAutospacing="1" w:after="100" w:afterAutospacing="1" w:line="360" w:lineRule="auto"/>
        <w:jc w:val="both"/>
        <w:rPr>
          <w:rFonts w:cs="Times New Roman"/>
          <w:szCs w:val="24"/>
        </w:rPr>
      </w:pPr>
      <w:r>
        <w:rPr>
          <w:rFonts w:cs="Times New Roman"/>
          <w:szCs w:val="24"/>
        </w:rPr>
        <w:t>Es decir que, los estudios de representaciones sociales en torno a la disponibilidad de agua percibida parecen evidenciar una tradición arraigada y una agenda mediática establecida. Se trata de dos procesos en los que las representaciones sociales explican un continuum de utilidad y riesgo. En tal sentido, la utilidad percibida estaría asociada a las creencias de abundancia de agua y al comportamiento de derroche, así como el riesgo percibido estaría vinculado a las creencias de escasez y las conductas de ahorro</w:t>
      </w:r>
      <w:r w:rsidR="00E835E4">
        <w:rPr>
          <w:rFonts w:cs="Times New Roman"/>
          <w:szCs w:val="24"/>
        </w:rPr>
        <w:t xml:space="preserve"> (Gomera, </w:t>
      </w:r>
      <w:proofErr w:type="spellStart"/>
      <w:r w:rsidR="00E835E4">
        <w:rPr>
          <w:rFonts w:cs="Times New Roman"/>
          <w:szCs w:val="24"/>
        </w:rPr>
        <w:t>Villamandos</w:t>
      </w:r>
      <w:proofErr w:type="spellEnd"/>
      <w:r w:rsidR="00E835E4">
        <w:rPr>
          <w:rFonts w:cs="Times New Roman"/>
          <w:szCs w:val="24"/>
        </w:rPr>
        <w:t xml:space="preserve"> y Vaquero, </w:t>
      </w:r>
      <w:r w:rsidR="00E835E4" w:rsidRPr="00560960">
        <w:rPr>
          <w:rFonts w:cs="Times New Roman"/>
          <w:szCs w:val="24"/>
        </w:rPr>
        <w:t>2013)</w:t>
      </w:r>
      <w:r>
        <w:rPr>
          <w:rFonts w:cs="Times New Roman"/>
          <w:szCs w:val="24"/>
        </w:rPr>
        <w:t xml:space="preserve">. </w:t>
      </w:r>
    </w:p>
    <w:p w:rsidR="00662801" w:rsidRDefault="00662801" w:rsidP="003A0043">
      <w:pPr>
        <w:spacing w:before="100" w:beforeAutospacing="1" w:after="100" w:afterAutospacing="1" w:line="360" w:lineRule="auto"/>
        <w:jc w:val="both"/>
        <w:rPr>
          <w:rFonts w:cs="Times New Roman"/>
          <w:szCs w:val="24"/>
        </w:rPr>
      </w:pPr>
      <w:r>
        <w:rPr>
          <w:rFonts w:cs="Times New Roman"/>
          <w:szCs w:val="24"/>
        </w:rPr>
        <w:t xml:space="preserve">García, Carreón y Hernández (2016) advierten que tal continuum devela la construcción de una relación de poder entre los actores políticos y sociales que podría extenderse a los actores económicos, pero mientras tanto, una edificación de asimetrías entre gobernantes y gobernados parece reflejar el continuum de la utilidad al riesgo. </w:t>
      </w:r>
    </w:p>
    <w:p w:rsidR="008402D5" w:rsidRDefault="00662801" w:rsidP="003A0043">
      <w:pPr>
        <w:spacing w:before="100" w:beforeAutospacing="1" w:after="100" w:afterAutospacing="1" w:line="360" w:lineRule="auto"/>
        <w:jc w:val="both"/>
        <w:rPr>
          <w:rFonts w:cs="Times New Roman"/>
          <w:szCs w:val="24"/>
        </w:rPr>
      </w:pPr>
      <w:r>
        <w:rPr>
          <w:rFonts w:cs="Times New Roman"/>
          <w:szCs w:val="24"/>
        </w:rPr>
        <w:t>García, Carreón, Hernández, Bustos y Aguilar (2016) proponen que el estudio del continuum se refiera a una representación sociopolítica u objetivación del poder, ya que mientras en las zonas residenciales se observa una negociación entre usuarios y autoridades que se cristaliza en el abastecimiento permanente de agua y el pago correspondiente por el servicio hídrico, en las zonas periféricas</w:t>
      </w:r>
      <w:r w:rsidR="004D21BA">
        <w:rPr>
          <w:rFonts w:cs="Times New Roman"/>
          <w:szCs w:val="24"/>
        </w:rPr>
        <w:t xml:space="preserve"> más bien se entabla una negociación en torno a las elecciones políticas al condicionar el abastecimiento por el voto, o bien, la adherencia y militancia por el subsidio y la condonación en el pago del servicio. </w:t>
      </w:r>
    </w:p>
    <w:p w:rsidR="004D21BA" w:rsidRDefault="004D21BA" w:rsidP="003A0043">
      <w:pPr>
        <w:spacing w:before="100" w:beforeAutospacing="1" w:after="100" w:afterAutospacing="1" w:line="360" w:lineRule="auto"/>
        <w:jc w:val="both"/>
        <w:rPr>
          <w:rFonts w:cs="Times New Roman"/>
          <w:szCs w:val="24"/>
        </w:rPr>
      </w:pPr>
      <w:r>
        <w:rPr>
          <w:rFonts w:cs="Times New Roman"/>
          <w:szCs w:val="24"/>
        </w:rPr>
        <w:t xml:space="preserve">Carreón, Bustos, García, Hernández y Mendoza (2015) corroboraron el supuesto de las representaciones sociopolíticas en torno a las políticas de abastecimiento, las creencias de </w:t>
      </w:r>
      <w:r>
        <w:rPr>
          <w:rFonts w:cs="Times New Roman"/>
          <w:szCs w:val="24"/>
        </w:rPr>
        <w:lastRenderedPageBreak/>
        <w:t xml:space="preserve">disponibilidad y el uso del agua. </w:t>
      </w:r>
      <w:r w:rsidR="007F74A2">
        <w:rPr>
          <w:rFonts w:cs="Times New Roman"/>
          <w:szCs w:val="24"/>
        </w:rPr>
        <w:t xml:space="preserve">Demostraron una asociación positiva entre la proximidad de las elecciones con respecto a la desconfianza ciudadana hacia las autoridades locales y el desabastecimiento de agua. </w:t>
      </w:r>
    </w:p>
    <w:p w:rsidR="007F74A2" w:rsidRDefault="007F74A2" w:rsidP="003A0043">
      <w:pPr>
        <w:spacing w:before="100" w:beforeAutospacing="1" w:after="100" w:afterAutospacing="1" w:line="360" w:lineRule="auto"/>
        <w:jc w:val="both"/>
        <w:rPr>
          <w:rFonts w:cs="Times New Roman"/>
          <w:szCs w:val="24"/>
        </w:rPr>
      </w:pPr>
      <w:r>
        <w:rPr>
          <w:rFonts w:cs="Times New Roman"/>
          <w:szCs w:val="24"/>
        </w:rPr>
        <w:t>A diferencia de las representacio</w:t>
      </w:r>
      <w:r w:rsidR="0083194A">
        <w:rPr>
          <w:rFonts w:cs="Times New Roman"/>
          <w:szCs w:val="24"/>
        </w:rPr>
        <w:t xml:space="preserve">nes sociales, las creencias </w:t>
      </w:r>
      <w:proofErr w:type="spellStart"/>
      <w:r w:rsidR="0083194A">
        <w:rPr>
          <w:rFonts w:cs="Times New Roman"/>
          <w:szCs w:val="24"/>
        </w:rPr>
        <w:t>eco</w:t>
      </w:r>
      <w:r>
        <w:rPr>
          <w:rFonts w:cs="Times New Roman"/>
          <w:szCs w:val="24"/>
        </w:rPr>
        <w:t>c</w:t>
      </w:r>
      <w:r w:rsidR="0083194A">
        <w:rPr>
          <w:rFonts w:cs="Times New Roman"/>
          <w:szCs w:val="24"/>
        </w:rPr>
        <w:t>é</w:t>
      </w:r>
      <w:r>
        <w:rPr>
          <w:rFonts w:cs="Times New Roman"/>
          <w:szCs w:val="24"/>
        </w:rPr>
        <w:t>ntricas</w:t>
      </w:r>
      <w:proofErr w:type="spellEnd"/>
      <w:r>
        <w:rPr>
          <w:rFonts w:cs="Times New Roman"/>
          <w:szCs w:val="24"/>
        </w:rPr>
        <w:t xml:space="preserve"> y antropocéntricas, así como las percepciones de utilidad y riesgo, arraigadas o no en las comunidades, establecidas o no por los medios de comunicación locales, las representaciones sociopolíticas son edificación y núcleos figurativos que se han construido desde el surgimiento del Estado y la legitimidad de las diferencias entre gobernantes y gobernados</w:t>
      </w:r>
      <w:r w:rsidR="00E835E4">
        <w:rPr>
          <w:rFonts w:cs="Times New Roman"/>
          <w:szCs w:val="24"/>
        </w:rPr>
        <w:t xml:space="preserve"> (</w:t>
      </w:r>
      <w:proofErr w:type="spellStart"/>
      <w:r w:rsidR="00E835E4">
        <w:rPr>
          <w:rFonts w:cs="Times New Roman"/>
          <w:szCs w:val="24"/>
        </w:rPr>
        <w:t>Gudynas</w:t>
      </w:r>
      <w:proofErr w:type="spellEnd"/>
      <w:r w:rsidR="00E835E4">
        <w:rPr>
          <w:rFonts w:cs="Times New Roman"/>
          <w:szCs w:val="24"/>
        </w:rPr>
        <w:t xml:space="preserve">, </w:t>
      </w:r>
      <w:r w:rsidR="00E835E4" w:rsidRPr="00560960">
        <w:rPr>
          <w:rFonts w:cs="Times New Roman"/>
          <w:szCs w:val="24"/>
        </w:rPr>
        <w:t>2010)</w:t>
      </w:r>
      <w:r>
        <w:rPr>
          <w:rFonts w:cs="Times New Roman"/>
          <w:szCs w:val="24"/>
        </w:rPr>
        <w:t xml:space="preserve">. La emergencia de las problemáticas ambientales a nivel global y las problemáticas hídricas a nivel local ha generado una propaganda que destaca la rectoría del Estado en materia de seguridad alimentaria y por consecuencia de derecho al agua como factor clave del Desarrollo Humano Sustentable, a la vez que la sociedad civil ha generado una contra propaganda que resalta la autogestión local posterior a la desconfianza hacia sus gobernantes. </w:t>
      </w:r>
    </w:p>
    <w:p w:rsidR="007F74A2" w:rsidRDefault="007F74A2" w:rsidP="003A0043">
      <w:pPr>
        <w:spacing w:before="100" w:beforeAutospacing="1" w:after="100" w:afterAutospacing="1" w:line="360" w:lineRule="auto"/>
        <w:jc w:val="both"/>
        <w:rPr>
          <w:rFonts w:cs="Times New Roman"/>
          <w:szCs w:val="24"/>
        </w:rPr>
      </w:pPr>
      <w:r>
        <w:rPr>
          <w:rFonts w:cs="Times New Roman"/>
          <w:szCs w:val="24"/>
        </w:rPr>
        <w:t>En virtud de que las representaciones sociopolíticas dan cuenta de las diferencias entre autoridades y usuarios, mismas que son reflejadas en el aumento de tarifas en zonas de consumo medio, disminución de costos en zonas de alto consumo, así como tanto el subsidio y la condonación en zonas de bajo consumo, es menester explicar las trayectorias de las relaciones de dependencia entre las variables esgrimidas con la finalidad de anticipar escenarios de conflictos tales como boicots, secuestros de tomas y unidades de abastecimiento, confrontaciones con la policía, cierre de avenidas y movilizaciones</w:t>
      </w:r>
      <w:r w:rsidR="00DB35D8">
        <w:rPr>
          <w:rFonts w:cs="Times New Roman"/>
          <w:szCs w:val="24"/>
        </w:rPr>
        <w:t xml:space="preserve"> colectivas. </w:t>
      </w:r>
    </w:p>
    <w:p w:rsidR="003902CF" w:rsidRDefault="003902CF" w:rsidP="003A0043">
      <w:pPr>
        <w:spacing w:before="100" w:beforeAutospacing="1" w:after="100" w:afterAutospacing="1" w:line="360" w:lineRule="auto"/>
        <w:jc w:val="both"/>
        <w:rPr>
          <w:rFonts w:cs="Times New Roman"/>
          <w:szCs w:val="24"/>
        </w:rPr>
      </w:pPr>
      <w:r>
        <w:rPr>
          <w:rFonts w:cs="Times New Roman"/>
          <w:szCs w:val="24"/>
        </w:rPr>
        <w:t xml:space="preserve">A pesar de que tales conflictos develan un área de oportunidad en torno a la negociación, debate y consenso, estos fenómenos también pueden ser encauzados desde los sectores organizados de la sociedad civil sin tener un antecedente coercitivo o incluso delictivo. </w:t>
      </w:r>
      <w:r w:rsidR="009853FF">
        <w:rPr>
          <w:rFonts w:cs="Times New Roman"/>
          <w:szCs w:val="24"/>
        </w:rPr>
        <w:t xml:space="preserve">Por consiguiente, el diagnóstico de las representaciones sociopolíticas permitirá establecer </w:t>
      </w:r>
      <w:r w:rsidR="002149EE">
        <w:rPr>
          <w:rFonts w:cs="Times New Roman"/>
          <w:szCs w:val="24"/>
        </w:rPr>
        <w:t xml:space="preserve">políticas hídricas acordes a la disponibilidad local y estilos de vida comunitarios. </w:t>
      </w:r>
    </w:p>
    <w:p w:rsidR="00855142" w:rsidRDefault="00CB494A" w:rsidP="003A0043">
      <w:pPr>
        <w:spacing w:before="100" w:beforeAutospacing="1" w:after="100" w:afterAutospacing="1" w:line="360" w:lineRule="auto"/>
        <w:jc w:val="both"/>
        <w:rPr>
          <w:rFonts w:cs="Times New Roman"/>
          <w:szCs w:val="24"/>
        </w:rPr>
      </w:pPr>
      <w:r w:rsidRPr="00CB494A">
        <w:rPr>
          <w:rFonts w:cs="Times New Roman"/>
          <w:i/>
          <w:szCs w:val="24"/>
        </w:rPr>
        <w:lastRenderedPageBreak/>
        <w:t>Planteamiento</w:t>
      </w:r>
      <w:r>
        <w:rPr>
          <w:rFonts w:cs="Times New Roman"/>
          <w:szCs w:val="24"/>
        </w:rPr>
        <w:t xml:space="preserve">: </w:t>
      </w:r>
      <w:r w:rsidR="00855142">
        <w:rPr>
          <w:rFonts w:cs="Times New Roman"/>
          <w:szCs w:val="24"/>
        </w:rPr>
        <w:t>¿Cuáles son las dimensiones de las representaciones sociopolíticas en torno al abastecimiento de agua durante proselitismos electorales en una demarcación de la Ciudad de México?</w:t>
      </w:r>
    </w:p>
    <w:p w:rsidR="00CB494A" w:rsidRDefault="00855142" w:rsidP="003A0043">
      <w:pPr>
        <w:spacing w:before="100" w:beforeAutospacing="1" w:after="100" w:afterAutospacing="1" w:line="360" w:lineRule="auto"/>
        <w:jc w:val="both"/>
        <w:rPr>
          <w:rFonts w:cs="Times New Roman"/>
          <w:szCs w:val="24"/>
        </w:rPr>
      </w:pPr>
      <w:r w:rsidRPr="00CB494A">
        <w:rPr>
          <w:rFonts w:cs="Times New Roman"/>
          <w:i/>
          <w:szCs w:val="24"/>
        </w:rPr>
        <w:t>Hipótesis</w:t>
      </w:r>
      <w:r>
        <w:rPr>
          <w:rFonts w:cs="Times New Roman"/>
          <w:szCs w:val="24"/>
        </w:rPr>
        <w:t xml:space="preserve"> </w:t>
      </w:r>
      <w:r w:rsidRPr="00CB494A">
        <w:rPr>
          <w:rFonts w:cs="Times New Roman"/>
          <w:i/>
          <w:szCs w:val="24"/>
        </w:rPr>
        <w:t>nula</w:t>
      </w:r>
      <w:r>
        <w:rPr>
          <w:rFonts w:cs="Times New Roman"/>
          <w:szCs w:val="24"/>
        </w:rPr>
        <w:t xml:space="preserve">: Las dimensiones teóricas de </w:t>
      </w:r>
      <w:r w:rsidR="00CB494A">
        <w:rPr>
          <w:rFonts w:cs="Times New Roman"/>
          <w:szCs w:val="24"/>
        </w:rPr>
        <w:t xml:space="preserve">objetivación y anclaje de </w:t>
      </w:r>
      <w:r>
        <w:rPr>
          <w:rFonts w:cs="Times New Roman"/>
          <w:szCs w:val="24"/>
        </w:rPr>
        <w:t>las representaciones sociopolíticas</w:t>
      </w:r>
      <w:r w:rsidR="00CB494A">
        <w:rPr>
          <w:rFonts w:cs="Times New Roman"/>
          <w:szCs w:val="24"/>
        </w:rPr>
        <w:t xml:space="preserve"> se ajustan a los datos observados en el estudio. </w:t>
      </w:r>
    </w:p>
    <w:p w:rsidR="00855142" w:rsidRPr="00CB494A" w:rsidRDefault="00855142" w:rsidP="003A0043">
      <w:pPr>
        <w:spacing w:before="100" w:beforeAutospacing="1" w:after="100" w:afterAutospacing="1" w:line="360" w:lineRule="auto"/>
        <w:jc w:val="both"/>
        <w:rPr>
          <w:rFonts w:cs="Times New Roman"/>
          <w:szCs w:val="24"/>
        </w:rPr>
      </w:pPr>
      <w:r>
        <w:rPr>
          <w:rFonts w:cs="Times New Roman"/>
          <w:szCs w:val="24"/>
        </w:rPr>
        <w:t xml:space="preserve"> </w:t>
      </w:r>
      <w:r w:rsidR="00CB494A">
        <w:rPr>
          <w:rFonts w:cs="Times New Roman"/>
          <w:i/>
          <w:szCs w:val="24"/>
        </w:rPr>
        <w:t xml:space="preserve">Hipótesis alterna: </w:t>
      </w:r>
      <w:r w:rsidR="00CB494A">
        <w:rPr>
          <w:rFonts w:cs="Times New Roman"/>
          <w:szCs w:val="24"/>
        </w:rPr>
        <w:t xml:space="preserve">las dimensiones teóricas de objetivación y anclaje de las representaciones sociopolíticas son diferentes a los hallazgos encontrados. </w:t>
      </w:r>
    </w:p>
    <w:p w:rsidR="00560960" w:rsidRDefault="00560960" w:rsidP="003A0043">
      <w:pPr>
        <w:spacing w:before="100" w:beforeAutospacing="1" w:after="100" w:afterAutospacing="1" w:line="360" w:lineRule="auto"/>
        <w:jc w:val="both"/>
        <w:rPr>
          <w:rFonts w:cs="Times New Roman"/>
          <w:b/>
          <w:szCs w:val="24"/>
        </w:rPr>
      </w:pPr>
      <w:r>
        <w:rPr>
          <w:rFonts w:cs="Times New Roman"/>
          <w:b/>
          <w:szCs w:val="24"/>
        </w:rPr>
        <w:t>M</w:t>
      </w:r>
      <w:r w:rsidR="00662801">
        <w:rPr>
          <w:rFonts w:cs="Times New Roman"/>
          <w:b/>
          <w:szCs w:val="24"/>
        </w:rPr>
        <w:t>étodo</w:t>
      </w:r>
    </w:p>
    <w:p w:rsidR="00560960" w:rsidRDefault="00560960" w:rsidP="003A0043">
      <w:pPr>
        <w:spacing w:before="100" w:beforeAutospacing="1" w:after="100" w:afterAutospacing="1" w:line="360" w:lineRule="auto"/>
        <w:ind w:left="567" w:hanging="567"/>
        <w:jc w:val="both"/>
        <w:rPr>
          <w:rFonts w:cs="Times New Roman"/>
          <w:szCs w:val="24"/>
        </w:rPr>
      </w:pPr>
      <w:r w:rsidRPr="00560960">
        <w:rPr>
          <w:rFonts w:cs="Times New Roman"/>
          <w:i/>
          <w:szCs w:val="24"/>
        </w:rPr>
        <w:t>Diseño</w:t>
      </w:r>
      <w:r>
        <w:rPr>
          <w:rFonts w:cs="Times New Roman"/>
          <w:szCs w:val="24"/>
        </w:rPr>
        <w:t xml:space="preserve">. </w:t>
      </w:r>
      <w:r w:rsidR="00CB494A">
        <w:rPr>
          <w:rFonts w:cs="Times New Roman"/>
          <w:szCs w:val="24"/>
        </w:rPr>
        <w:t>Se llevó a cabo un estudio exploratorio, transversal y correlacional.</w:t>
      </w:r>
    </w:p>
    <w:p w:rsidR="00560960" w:rsidRDefault="00560960" w:rsidP="003A0043">
      <w:pPr>
        <w:spacing w:before="100" w:beforeAutospacing="1" w:after="100" w:afterAutospacing="1" w:line="360" w:lineRule="auto"/>
        <w:jc w:val="both"/>
        <w:rPr>
          <w:rFonts w:cs="Times New Roman"/>
          <w:szCs w:val="24"/>
        </w:rPr>
      </w:pPr>
      <w:r w:rsidRPr="00560960">
        <w:rPr>
          <w:rFonts w:cs="Times New Roman"/>
          <w:i/>
          <w:szCs w:val="24"/>
        </w:rPr>
        <w:t>Muestra</w:t>
      </w:r>
      <w:r>
        <w:rPr>
          <w:rFonts w:cs="Times New Roman"/>
          <w:szCs w:val="24"/>
        </w:rPr>
        <w:t xml:space="preserve">. </w:t>
      </w:r>
      <w:r w:rsidR="00CB494A">
        <w:rPr>
          <w:rFonts w:cs="Times New Roman"/>
          <w:szCs w:val="24"/>
        </w:rPr>
        <w:t>Se realizó una selección no probabilística de 245 locatarios de la colon</w:t>
      </w:r>
      <w:r w:rsidR="004F5B18">
        <w:rPr>
          <w:rFonts w:cs="Times New Roman"/>
          <w:szCs w:val="24"/>
        </w:rPr>
        <w:t>i</w:t>
      </w:r>
      <w:r w:rsidR="00723201">
        <w:rPr>
          <w:rFonts w:cs="Times New Roman"/>
          <w:szCs w:val="24"/>
        </w:rPr>
        <w:t>a La Purí</w:t>
      </w:r>
      <w:r w:rsidR="00CB494A">
        <w:rPr>
          <w:rFonts w:cs="Times New Roman"/>
          <w:szCs w:val="24"/>
        </w:rPr>
        <w:t>sima, Delegación Iztapalapa, Ciudad de México. El 54% es hombre y el restante 46 es mujer. El 35% de los encuestados declaró tener menos de 29 años (</w:t>
      </w:r>
      <w:r w:rsidR="00CB494A" w:rsidRPr="004F5B18">
        <w:rPr>
          <w:rFonts w:cs="Times New Roman"/>
          <w:i/>
          <w:szCs w:val="24"/>
        </w:rPr>
        <w:t>M</w:t>
      </w:r>
      <w:r w:rsidR="00CB494A">
        <w:rPr>
          <w:rFonts w:cs="Times New Roman"/>
          <w:szCs w:val="24"/>
        </w:rPr>
        <w:t xml:space="preserve"> = 28,7 y </w:t>
      </w:r>
      <w:r w:rsidR="00CB494A" w:rsidRPr="004F5B18">
        <w:rPr>
          <w:rFonts w:cs="Times New Roman"/>
          <w:i/>
          <w:szCs w:val="24"/>
        </w:rPr>
        <w:t>DE</w:t>
      </w:r>
      <w:r w:rsidR="00CB494A">
        <w:rPr>
          <w:rFonts w:cs="Times New Roman"/>
          <w:szCs w:val="24"/>
        </w:rPr>
        <w:t xml:space="preserve"> = 2,35), el 22% dijo tener entre 29 y 65 años (</w:t>
      </w:r>
      <w:r w:rsidR="00CB494A" w:rsidRPr="004F5B18">
        <w:rPr>
          <w:rFonts w:cs="Times New Roman"/>
          <w:i/>
          <w:szCs w:val="24"/>
        </w:rPr>
        <w:t>M</w:t>
      </w:r>
      <w:r w:rsidR="00CB494A">
        <w:rPr>
          <w:rFonts w:cs="Times New Roman"/>
          <w:szCs w:val="24"/>
        </w:rPr>
        <w:t xml:space="preserve"> = 40,2 y </w:t>
      </w:r>
      <w:r w:rsidR="00CB494A" w:rsidRPr="004F5B18">
        <w:rPr>
          <w:rFonts w:cs="Times New Roman"/>
          <w:i/>
          <w:szCs w:val="24"/>
        </w:rPr>
        <w:t>DE</w:t>
      </w:r>
      <w:r w:rsidR="00CB494A">
        <w:rPr>
          <w:rFonts w:cs="Times New Roman"/>
          <w:szCs w:val="24"/>
        </w:rPr>
        <w:t xml:space="preserve"> = 10,2) y el restante 43% mencionó haber cumplido más de 65 años (</w:t>
      </w:r>
      <w:r w:rsidR="00CB494A" w:rsidRPr="004F5B18">
        <w:rPr>
          <w:rFonts w:cs="Times New Roman"/>
          <w:i/>
          <w:szCs w:val="24"/>
        </w:rPr>
        <w:t>M</w:t>
      </w:r>
      <w:r w:rsidR="00CB494A">
        <w:rPr>
          <w:rFonts w:cs="Times New Roman"/>
          <w:szCs w:val="24"/>
        </w:rPr>
        <w:t xml:space="preserve"> = 68,34 y </w:t>
      </w:r>
      <w:r w:rsidR="00CB494A" w:rsidRPr="004F5B18">
        <w:rPr>
          <w:rFonts w:cs="Times New Roman"/>
          <w:i/>
          <w:szCs w:val="24"/>
        </w:rPr>
        <w:t>DE</w:t>
      </w:r>
      <w:r w:rsidR="00CB494A">
        <w:rPr>
          <w:rFonts w:cs="Times New Roman"/>
          <w:szCs w:val="24"/>
        </w:rPr>
        <w:t xml:space="preserve"> = 15,35). </w:t>
      </w:r>
      <w:r w:rsidR="004F5B18">
        <w:rPr>
          <w:rFonts w:cs="Times New Roman"/>
          <w:szCs w:val="24"/>
        </w:rPr>
        <w:t xml:space="preserve">El </w:t>
      </w:r>
      <w:r w:rsidR="00723201">
        <w:rPr>
          <w:rFonts w:cs="Times New Roman"/>
          <w:szCs w:val="24"/>
        </w:rPr>
        <w:t>41% reconoció ganar menos de 3500 pesos al mes (</w:t>
      </w:r>
      <w:r w:rsidR="00723201" w:rsidRPr="00723201">
        <w:rPr>
          <w:rFonts w:cs="Times New Roman"/>
          <w:i/>
          <w:szCs w:val="24"/>
        </w:rPr>
        <w:t>M</w:t>
      </w:r>
      <w:r w:rsidR="00723201">
        <w:rPr>
          <w:rFonts w:cs="Times New Roman"/>
          <w:szCs w:val="24"/>
        </w:rPr>
        <w:t xml:space="preserve"> = 3000,14 y </w:t>
      </w:r>
      <w:r w:rsidR="00723201" w:rsidRPr="00723201">
        <w:rPr>
          <w:rFonts w:cs="Times New Roman"/>
          <w:i/>
          <w:szCs w:val="24"/>
        </w:rPr>
        <w:t>DE</w:t>
      </w:r>
      <w:r w:rsidR="00723201">
        <w:rPr>
          <w:rFonts w:cs="Times New Roman"/>
          <w:szCs w:val="24"/>
        </w:rPr>
        <w:t xml:space="preserve"> = 243,45 pesos mensuales), el 34% informó ganar entre 3500 y 7000 pesos al mes (</w:t>
      </w:r>
      <w:r w:rsidR="00723201" w:rsidRPr="00723201">
        <w:rPr>
          <w:rFonts w:cs="Times New Roman"/>
          <w:i/>
          <w:szCs w:val="24"/>
        </w:rPr>
        <w:t>M</w:t>
      </w:r>
      <w:r w:rsidR="00723201">
        <w:rPr>
          <w:rFonts w:cs="Times New Roman"/>
          <w:szCs w:val="24"/>
        </w:rPr>
        <w:t xml:space="preserve"> = 4560,13 y </w:t>
      </w:r>
      <w:r w:rsidR="00723201" w:rsidRPr="00723201">
        <w:rPr>
          <w:rFonts w:cs="Times New Roman"/>
          <w:i/>
          <w:szCs w:val="24"/>
        </w:rPr>
        <w:t>DE</w:t>
      </w:r>
      <w:r w:rsidR="00723201">
        <w:rPr>
          <w:rFonts w:cs="Times New Roman"/>
          <w:szCs w:val="24"/>
        </w:rPr>
        <w:t xml:space="preserve"> = 423,46) y el restante 25% señalo que gano más de 7000 pesos en el último mes (</w:t>
      </w:r>
      <w:r w:rsidR="00723201" w:rsidRPr="00723201">
        <w:rPr>
          <w:rFonts w:cs="Times New Roman"/>
          <w:i/>
          <w:szCs w:val="24"/>
        </w:rPr>
        <w:t>M</w:t>
      </w:r>
      <w:r w:rsidR="00723201">
        <w:rPr>
          <w:rFonts w:cs="Times New Roman"/>
          <w:szCs w:val="24"/>
        </w:rPr>
        <w:t xml:space="preserve"> = 7831,21 y </w:t>
      </w:r>
      <w:r w:rsidR="00723201" w:rsidRPr="00723201">
        <w:rPr>
          <w:rFonts w:cs="Times New Roman"/>
          <w:i/>
          <w:szCs w:val="24"/>
        </w:rPr>
        <w:t>DE</w:t>
      </w:r>
      <w:r w:rsidR="00723201">
        <w:rPr>
          <w:rFonts w:cs="Times New Roman"/>
          <w:szCs w:val="24"/>
        </w:rPr>
        <w:t xml:space="preserve"> = 546,32). </w:t>
      </w:r>
      <w:r w:rsidR="00CB494A">
        <w:rPr>
          <w:rFonts w:cs="Times New Roman"/>
          <w:szCs w:val="24"/>
        </w:rPr>
        <w:t xml:space="preserve"> </w:t>
      </w:r>
    </w:p>
    <w:p w:rsidR="00723201" w:rsidRDefault="00560960" w:rsidP="003A0043">
      <w:pPr>
        <w:spacing w:before="100" w:beforeAutospacing="1" w:after="100" w:afterAutospacing="1" w:line="360" w:lineRule="auto"/>
        <w:jc w:val="both"/>
        <w:rPr>
          <w:rFonts w:cs="Times New Roman"/>
          <w:szCs w:val="24"/>
        </w:rPr>
      </w:pPr>
      <w:r w:rsidRPr="00560960">
        <w:rPr>
          <w:rFonts w:cs="Times New Roman"/>
          <w:i/>
          <w:szCs w:val="24"/>
        </w:rPr>
        <w:t>Instrumentos</w:t>
      </w:r>
      <w:r>
        <w:rPr>
          <w:rFonts w:cs="Times New Roman"/>
          <w:szCs w:val="24"/>
        </w:rPr>
        <w:t>.</w:t>
      </w:r>
      <w:r w:rsidR="00723201">
        <w:rPr>
          <w:rFonts w:cs="Times New Roman"/>
          <w:szCs w:val="24"/>
        </w:rPr>
        <w:t xml:space="preserve"> Se utilizó la Escala de Representaciones </w:t>
      </w:r>
      <w:proofErr w:type="spellStart"/>
      <w:r w:rsidR="00723201">
        <w:rPr>
          <w:rFonts w:cs="Times New Roman"/>
          <w:szCs w:val="24"/>
        </w:rPr>
        <w:t>Soociopolíticas</w:t>
      </w:r>
      <w:proofErr w:type="spellEnd"/>
      <w:r w:rsidR="00723201">
        <w:rPr>
          <w:rFonts w:cs="Times New Roman"/>
          <w:szCs w:val="24"/>
        </w:rPr>
        <w:t xml:space="preserve"> de Carreón et al., (2015) la cual incluye 14 reactivos que miden la objetivación y el anclaje con respecto a la política de abastecimiento local. Cada reactivo incluye seis opciones de respuesta; 0 = nada probable, 1 = muy poco probable, 2 = poco probable, 3 = </w:t>
      </w:r>
      <w:r w:rsidR="00E705E8">
        <w:rPr>
          <w:rFonts w:cs="Times New Roman"/>
          <w:szCs w:val="24"/>
        </w:rPr>
        <w:t xml:space="preserve">probable, 4 = algo probable y 5 = muy probable. </w:t>
      </w:r>
      <w:r w:rsidR="00775611">
        <w:rPr>
          <w:rFonts w:cs="Times New Roman"/>
          <w:szCs w:val="24"/>
        </w:rPr>
        <w:t xml:space="preserve">Al ser definidas las representaciones sociopolíticas como el reflejo de las diferencias entre gobernantes y gobernados en cuanto a la política de tandeo y el sistema tarifario del servicio de agua potable, la objetivación fue asumida como </w:t>
      </w:r>
      <w:r w:rsidR="00080EDC">
        <w:rPr>
          <w:rFonts w:cs="Times New Roman"/>
          <w:szCs w:val="24"/>
        </w:rPr>
        <w:t xml:space="preserve">la edificación de una lógica de gratuidad dado que el Estado a través de los impuestos está obligado a abastecer de agua a la ciudadanía. En cuanto al anclaje éste se consideró como una lógica </w:t>
      </w:r>
      <w:r w:rsidR="00080EDC">
        <w:rPr>
          <w:rFonts w:cs="Times New Roman"/>
          <w:szCs w:val="24"/>
        </w:rPr>
        <w:lastRenderedPageBreak/>
        <w:t xml:space="preserve">de verificabilidad que consiste en observar </w:t>
      </w:r>
      <w:r w:rsidR="00FC39A2">
        <w:rPr>
          <w:rFonts w:cs="Times New Roman"/>
          <w:szCs w:val="24"/>
        </w:rPr>
        <w:t xml:space="preserve">la calidad del servicio de agua potable y la vigilancia de abastecimiento en función de cobro del servicio. </w:t>
      </w:r>
      <w:r w:rsidR="00080EDC">
        <w:rPr>
          <w:rFonts w:cs="Times New Roman"/>
          <w:szCs w:val="24"/>
        </w:rPr>
        <w:t xml:space="preserve">  </w:t>
      </w:r>
    </w:p>
    <w:p w:rsidR="00560960" w:rsidRDefault="00560960" w:rsidP="003A0043">
      <w:pPr>
        <w:spacing w:before="100" w:beforeAutospacing="1" w:after="100" w:afterAutospacing="1" w:line="360" w:lineRule="auto"/>
        <w:jc w:val="both"/>
        <w:rPr>
          <w:rFonts w:cs="Times New Roman"/>
          <w:szCs w:val="24"/>
        </w:rPr>
      </w:pPr>
      <w:r w:rsidRPr="00560960">
        <w:rPr>
          <w:rFonts w:cs="Times New Roman"/>
          <w:i/>
          <w:szCs w:val="24"/>
        </w:rPr>
        <w:t>Procedimiento</w:t>
      </w:r>
      <w:r>
        <w:rPr>
          <w:rFonts w:cs="Times New Roman"/>
          <w:szCs w:val="24"/>
        </w:rPr>
        <w:t xml:space="preserve">. </w:t>
      </w:r>
      <w:r w:rsidR="00A37D21">
        <w:rPr>
          <w:rFonts w:cs="Times New Roman"/>
          <w:szCs w:val="24"/>
        </w:rPr>
        <w:t>Se utilizó la técnica Delphi para la homogenización de los conceptos incluidos en los reactivos que miden las representaciones sociopolíticas, previa información de los propósitos del estudio y advertencia de que los resultados del mismo no afectarían la calidad del servicio hídrico en cuanto al abastecimiento, el nivel de potabilidad y el costo. Se encuestó a la muestra en su lugar de residencia y la información se procesó en el Paquete Estadístico para Ciencias Sociales (SPSS por su acrónimo en inglés versión 18</w:t>
      </w:r>
      <w:r w:rsidR="0083194A">
        <w:rPr>
          <w:rFonts w:cs="Times New Roman"/>
          <w:szCs w:val="24"/>
        </w:rPr>
        <w:t>,0</w:t>
      </w:r>
      <w:r w:rsidR="00A37D21">
        <w:rPr>
          <w:rFonts w:cs="Times New Roman"/>
          <w:szCs w:val="24"/>
        </w:rPr>
        <w:t>)</w:t>
      </w:r>
      <w:r w:rsidR="0083194A">
        <w:rPr>
          <w:rFonts w:cs="Times New Roman"/>
          <w:szCs w:val="24"/>
        </w:rPr>
        <w:t xml:space="preserve"> y Análisis de Momentos Estructurales (AMOS por su acrónimo en inglés versión 5,0)</w:t>
      </w:r>
      <w:r w:rsidR="00A37D21">
        <w:rPr>
          <w:rFonts w:cs="Times New Roman"/>
          <w:szCs w:val="24"/>
        </w:rPr>
        <w:t xml:space="preserve">. </w:t>
      </w:r>
    </w:p>
    <w:p w:rsidR="00560960" w:rsidRPr="00560960" w:rsidRDefault="00560960" w:rsidP="003A0043">
      <w:pPr>
        <w:spacing w:before="100" w:beforeAutospacing="1" w:after="100" w:afterAutospacing="1" w:line="360" w:lineRule="auto"/>
        <w:jc w:val="both"/>
        <w:rPr>
          <w:rFonts w:cs="Times New Roman"/>
          <w:szCs w:val="24"/>
        </w:rPr>
      </w:pPr>
      <w:r w:rsidRPr="00560960">
        <w:rPr>
          <w:rFonts w:cs="Times New Roman"/>
          <w:i/>
          <w:szCs w:val="24"/>
        </w:rPr>
        <w:t>Análisis</w:t>
      </w:r>
      <w:r>
        <w:rPr>
          <w:rFonts w:cs="Times New Roman"/>
          <w:szCs w:val="24"/>
        </w:rPr>
        <w:t xml:space="preserve">. </w:t>
      </w:r>
      <w:r w:rsidR="0083194A">
        <w:rPr>
          <w:rFonts w:cs="Times New Roman"/>
          <w:szCs w:val="24"/>
        </w:rPr>
        <w:t xml:space="preserve">Se estimaron los descriptivos de media y desviación estándar. En seguida se procedió a calcular la confiabilidad con el parámetro alfa de </w:t>
      </w:r>
      <w:proofErr w:type="spellStart"/>
      <w:r w:rsidR="0083194A">
        <w:rPr>
          <w:rFonts w:cs="Times New Roman"/>
          <w:szCs w:val="24"/>
        </w:rPr>
        <w:t>Cronbach</w:t>
      </w:r>
      <w:proofErr w:type="spellEnd"/>
      <w:r w:rsidR="0083194A">
        <w:rPr>
          <w:rFonts w:cs="Times New Roman"/>
          <w:szCs w:val="24"/>
        </w:rPr>
        <w:t xml:space="preserve"> y la validez se realizó con un análisis factorial exploratorio de ejes principales con rotación </w:t>
      </w:r>
      <w:proofErr w:type="spellStart"/>
      <w:r w:rsidR="0083194A">
        <w:rPr>
          <w:rFonts w:cs="Times New Roman"/>
          <w:szCs w:val="24"/>
        </w:rPr>
        <w:t>romax</w:t>
      </w:r>
      <w:proofErr w:type="spellEnd"/>
      <w:r w:rsidR="0083194A">
        <w:rPr>
          <w:rFonts w:cs="Times New Roman"/>
          <w:szCs w:val="24"/>
        </w:rPr>
        <w:t xml:space="preserve">, previo cálculo de adecuación y esfericidad con la prueba de Bartlett y el estadístico </w:t>
      </w:r>
      <w:proofErr w:type="spellStart"/>
      <w:r w:rsidR="0083194A">
        <w:rPr>
          <w:rFonts w:cs="Times New Roman"/>
          <w:szCs w:val="24"/>
        </w:rPr>
        <w:t>Kayser</w:t>
      </w:r>
      <w:proofErr w:type="spellEnd"/>
      <w:r w:rsidR="0083194A">
        <w:rPr>
          <w:rFonts w:cs="Times New Roman"/>
          <w:szCs w:val="24"/>
        </w:rPr>
        <w:t>-Meyer-</w:t>
      </w:r>
      <w:proofErr w:type="spellStart"/>
      <w:r w:rsidR="0083194A">
        <w:rPr>
          <w:rFonts w:cs="Times New Roman"/>
          <w:szCs w:val="24"/>
        </w:rPr>
        <w:t>Olkin</w:t>
      </w:r>
      <w:proofErr w:type="spellEnd"/>
      <w:r w:rsidR="0083194A">
        <w:rPr>
          <w:rFonts w:cs="Times New Roman"/>
          <w:szCs w:val="24"/>
        </w:rPr>
        <w:t xml:space="preserve"> (KMO). Por último, el ajuste se efectuó con </w:t>
      </w:r>
      <w:r w:rsidR="00CA5D04">
        <w:rPr>
          <w:rFonts w:cs="Times New Roman"/>
          <w:szCs w:val="24"/>
        </w:rPr>
        <w:t xml:space="preserve">el parámetro Chi cuadrada y </w:t>
      </w:r>
      <w:r w:rsidR="0083194A">
        <w:rPr>
          <w:rFonts w:cs="Times New Roman"/>
          <w:szCs w:val="24"/>
        </w:rPr>
        <w:t>los índices de bondad de ajuste (GFI)</w:t>
      </w:r>
      <w:r w:rsidR="00DF616F">
        <w:rPr>
          <w:rFonts w:cs="Times New Roman"/>
          <w:szCs w:val="24"/>
        </w:rPr>
        <w:t xml:space="preserve">, bondad </w:t>
      </w:r>
      <w:r w:rsidR="00CA5D04">
        <w:rPr>
          <w:rFonts w:cs="Times New Roman"/>
          <w:szCs w:val="24"/>
        </w:rPr>
        <w:t>de ajuste comparado (CFI) y resi</w:t>
      </w:r>
      <w:r w:rsidR="00DF616F">
        <w:rPr>
          <w:rFonts w:cs="Times New Roman"/>
          <w:szCs w:val="24"/>
        </w:rPr>
        <w:t xml:space="preserve">dual cuadrático medio (RMSEA). </w:t>
      </w:r>
    </w:p>
    <w:p w:rsidR="00CA5D04" w:rsidRDefault="00560960" w:rsidP="003A0043">
      <w:pPr>
        <w:spacing w:before="100" w:beforeAutospacing="1" w:after="100" w:afterAutospacing="1" w:line="360" w:lineRule="auto"/>
        <w:ind w:left="567" w:hanging="567"/>
        <w:jc w:val="both"/>
        <w:rPr>
          <w:rFonts w:cs="Times New Roman"/>
          <w:b/>
          <w:szCs w:val="24"/>
        </w:rPr>
      </w:pPr>
      <w:r>
        <w:rPr>
          <w:rFonts w:cs="Times New Roman"/>
          <w:b/>
          <w:szCs w:val="24"/>
        </w:rPr>
        <w:t>Resultados</w:t>
      </w:r>
    </w:p>
    <w:p w:rsidR="000302FB" w:rsidRDefault="00DC60CB" w:rsidP="00DC60CB">
      <w:pPr>
        <w:spacing w:before="100" w:beforeAutospacing="1" w:after="100" w:afterAutospacing="1" w:line="360" w:lineRule="auto"/>
        <w:jc w:val="both"/>
        <w:rPr>
          <w:rFonts w:cs="Times New Roman"/>
          <w:szCs w:val="24"/>
        </w:rPr>
      </w:pPr>
      <w:r>
        <w:rPr>
          <w:rFonts w:cs="Times New Roman"/>
          <w:szCs w:val="24"/>
        </w:rPr>
        <w:t xml:space="preserve">La escala general de representaciones sociopolíticas (alfa de 0,884) y las </w:t>
      </w:r>
      <w:proofErr w:type="spellStart"/>
      <w:r>
        <w:rPr>
          <w:rFonts w:cs="Times New Roman"/>
          <w:szCs w:val="24"/>
        </w:rPr>
        <w:t>subescalas</w:t>
      </w:r>
      <w:proofErr w:type="spellEnd"/>
      <w:r>
        <w:rPr>
          <w:rFonts w:cs="Times New Roman"/>
          <w:szCs w:val="24"/>
        </w:rPr>
        <w:t xml:space="preserve"> de objetivación (alfa de 0,881) y anclaje </w:t>
      </w:r>
      <w:r w:rsidR="00C427E0">
        <w:rPr>
          <w:rFonts w:cs="Times New Roman"/>
          <w:szCs w:val="24"/>
        </w:rPr>
        <w:t>(alfa de 0,884) alcanzaron consistencias internas superiores a mínima de 0,700 y explicaron el 34% y el 22% de la varianza total explicada respectivamente</w:t>
      </w:r>
      <w:r w:rsidR="000302FB">
        <w:rPr>
          <w:rFonts w:cs="Times New Roman"/>
          <w:szCs w:val="24"/>
        </w:rPr>
        <w:t xml:space="preserve"> (véase Tabla 1)</w:t>
      </w:r>
      <w:r w:rsidR="00C427E0">
        <w:rPr>
          <w:rFonts w:cs="Times New Roman"/>
          <w:szCs w:val="24"/>
        </w:rPr>
        <w:t>.</w:t>
      </w:r>
    </w:p>
    <w:p w:rsidR="00560960" w:rsidRDefault="00476A83" w:rsidP="003A0043">
      <w:pPr>
        <w:spacing w:before="100" w:beforeAutospacing="1" w:after="100" w:afterAutospacing="1" w:line="360" w:lineRule="auto"/>
        <w:ind w:left="567" w:hanging="567"/>
        <w:jc w:val="both"/>
        <w:rPr>
          <w:rFonts w:cs="Times New Roman"/>
          <w:szCs w:val="24"/>
        </w:rPr>
      </w:pPr>
      <w:r w:rsidRPr="00476A83">
        <w:rPr>
          <w:rFonts w:cs="Times New Roman"/>
          <w:szCs w:val="24"/>
        </w:rPr>
        <w:t>Tabla</w:t>
      </w:r>
      <w:r w:rsidR="00B40051">
        <w:rPr>
          <w:rFonts w:cs="Times New Roman"/>
          <w:szCs w:val="24"/>
        </w:rPr>
        <w:t xml:space="preserve"> 1</w:t>
      </w:r>
      <w:r w:rsidRPr="00476A83">
        <w:rPr>
          <w:rFonts w:cs="Times New Roman"/>
          <w:szCs w:val="24"/>
        </w:rPr>
        <w:t>. Descriptivos confiabilidad y validez del instrumento</w:t>
      </w:r>
      <w:r w:rsidR="00560960" w:rsidRPr="00476A83">
        <w:rPr>
          <w:rFonts w:cs="Times New Roman"/>
          <w:szCs w:val="24"/>
        </w:rPr>
        <w:t xml:space="preserve"> </w:t>
      </w:r>
    </w:p>
    <w:tbl>
      <w:tblPr>
        <w:tblStyle w:val="Tablanormal5"/>
        <w:tblW w:w="5000" w:type="pct"/>
        <w:tblLook w:val="04A0" w:firstRow="1" w:lastRow="0" w:firstColumn="1" w:lastColumn="0" w:noHBand="0" w:noVBand="1"/>
      </w:tblPr>
      <w:tblGrid>
        <w:gridCol w:w="593"/>
        <w:gridCol w:w="5743"/>
        <w:gridCol w:w="496"/>
        <w:gridCol w:w="496"/>
        <w:gridCol w:w="576"/>
        <w:gridCol w:w="576"/>
        <w:gridCol w:w="576"/>
      </w:tblGrid>
      <w:tr w:rsidR="002069DA" w:rsidRPr="008005CD" w:rsidTr="00D232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 xml:space="preserve">Clave </w:t>
            </w:r>
          </w:p>
        </w:tc>
        <w:tc>
          <w:tcPr>
            <w:tcW w:w="3204" w:type="pct"/>
            <w:shd w:val="clear" w:color="auto" w:fill="auto"/>
          </w:tcPr>
          <w:p w:rsidR="008005CD" w:rsidRPr="008005CD" w:rsidRDefault="008005CD" w:rsidP="003A004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cs="Times New Roman"/>
                <w:sz w:val="16"/>
                <w:szCs w:val="16"/>
              </w:rPr>
            </w:pPr>
            <w:proofErr w:type="spellStart"/>
            <w:r w:rsidRPr="008005CD">
              <w:rPr>
                <w:rFonts w:cs="Times New Roman"/>
                <w:sz w:val="16"/>
                <w:szCs w:val="16"/>
              </w:rPr>
              <w:t>Subsescalaa</w:t>
            </w:r>
            <w:proofErr w:type="spellEnd"/>
            <w:r w:rsidRPr="008005CD">
              <w:rPr>
                <w:rFonts w:cs="Times New Roman"/>
                <w:sz w:val="16"/>
                <w:szCs w:val="16"/>
              </w:rPr>
              <w:t xml:space="preserve">/ reactivos </w:t>
            </w:r>
          </w:p>
        </w:tc>
        <w:tc>
          <w:tcPr>
            <w:tcW w:w="304" w:type="pct"/>
            <w:shd w:val="clear" w:color="auto" w:fill="auto"/>
          </w:tcPr>
          <w:p w:rsidR="008005CD" w:rsidRPr="008005CD" w:rsidRDefault="008005CD" w:rsidP="003A004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8005CD">
              <w:rPr>
                <w:rFonts w:cs="Times New Roman"/>
                <w:sz w:val="16"/>
                <w:szCs w:val="16"/>
              </w:rPr>
              <w:t>M</w:t>
            </w:r>
          </w:p>
        </w:tc>
        <w:tc>
          <w:tcPr>
            <w:tcW w:w="304" w:type="pct"/>
            <w:shd w:val="clear" w:color="auto" w:fill="auto"/>
          </w:tcPr>
          <w:p w:rsidR="008005CD" w:rsidRPr="008005CD" w:rsidRDefault="008005CD" w:rsidP="003A004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8005CD">
              <w:rPr>
                <w:rFonts w:cs="Times New Roman"/>
                <w:sz w:val="16"/>
                <w:szCs w:val="16"/>
              </w:rPr>
              <w:t>DE</w:t>
            </w:r>
          </w:p>
        </w:tc>
        <w:tc>
          <w:tcPr>
            <w:tcW w:w="353" w:type="pct"/>
            <w:shd w:val="clear" w:color="auto" w:fill="auto"/>
          </w:tcPr>
          <w:p w:rsidR="008005CD" w:rsidRPr="008005CD" w:rsidRDefault="008005CD" w:rsidP="003A004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8005CD">
              <w:rPr>
                <w:rFonts w:cs="Times New Roman"/>
                <w:sz w:val="16"/>
                <w:szCs w:val="16"/>
              </w:rPr>
              <w:t xml:space="preserve">Alfa </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8005CD">
              <w:rPr>
                <w:rFonts w:cs="Times New Roman"/>
                <w:sz w:val="16"/>
                <w:szCs w:val="16"/>
              </w:rPr>
              <w:t>F1</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8005CD">
              <w:rPr>
                <w:rFonts w:cs="Times New Roman"/>
                <w:sz w:val="16"/>
                <w:szCs w:val="16"/>
              </w:rPr>
              <w:t>F2</w:t>
            </w:r>
          </w:p>
        </w:tc>
      </w:tr>
      <w:tr w:rsidR="002069DA" w:rsidRPr="008005CD" w:rsidTr="00D23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p>
        </w:tc>
        <w:tc>
          <w:tcPr>
            <w:tcW w:w="3204"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i/>
                <w:sz w:val="16"/>
                <w:szCs w:val="16"/>
              </w:rPr>
            </w:pPr>
            <w:r w:rsidRPr="008005CD">
              <w:rPr>
                <w:rFonts w:cs="Times New Roman"/>
                <w:i/>
                <w:sz w:val="16"/>
                <w:szCs w:val="16"/>
              </w:rPr>
              <w:t>Objetivación sociopolítica (</w:t>
            </w:r>
            <w:r w:rsidR="00FD72BF">
              <w:rPr>
                <w:rFonts w:cs="Times New Roman"/>
                <w:i/>
                <w:sz w:val="16"/>
                <w:szCs w:val="16"/>
              </w:rPr>
              <w:t xml:space="preserve">expectativa de </w:t>
            </w:r>
            <w:r w:rsidRPr="008005CD">
              <w:rPr>
                <w:rFonts w:cs="Times New Roman"/>
                <w:i/>
                <w:sz w:val="16"/>
                <w:szCs w:val="16"/>
              </w:rPr>
              <w:t>abastecimiento</w:t>
            </w:r>
            <w:r w:rsidR="00FD72BF">
              <w:rPr>
                <w:rFonts w:cs="Times New Roman"/>
                <w:i/>
                <w:sz w:val="16"/>
                <w:szCs w:val="16"/>
              </w:rPr>
              <w:t xml:space="preserve"> hídrico gratuito</w:t>
            </w:r>
            <w:r w:rsidRPr="008005CD">
              <w:rPr>
                <w:rFonts w:cs="Times New Roman"/>
                <w:i/>
                <w:sz w:val="16"/>
                <w:szCs w:val="16"/>
              </w:rPr>
              <w:t>)</w:t>
            </w:r>
          </w:p>
        </w:tc>
        <w:tc>
          <w:tcPr>
            <w:tcW w:w="304"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304"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353" w:type="pct"/>
            <w:shd w:val="clear" w:color="auto" w:fill="auto"/>
          </w:tcPr>
          <w:p w:rsidR="008005CD" w:rsidRPr="004F5D5F"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b/>
                <w:i/>
                <w:sz w:val="16"/>
                <w:szCs w:val="16"/>
              </w:rPr>
            </w:pPr>
            <w:r w:rsidRPr="004F5D5F">
              <w:rPr>
                <w:rFonts w:cs="Times New Roman"/>
                <w:b/>
                <w:i/>
                <w:sz w:val="16"/>
                <w:szCs w:val="16"/>
              </w:rPr>
              <w:t>0,881</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2069DA" w:rsidRPr="008005CD" w:rsidTr="00D23210">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O1</w:t>
            </w:r>
          </w:p>
        </w:tc>
        <w:tc>
          <w:tcPr>
            <w:tcW w:w="3204"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005CD">
              <w:rPr>
                <w:rFonts w:cs="Times New Roman"/>
                <w:sz w:val="16"/>
                <w:szCs w:val="16"/>
              </w:rPr>
              <w:t xml:space="preserve">El </w:t>
            </w:r>
            <w:r>
              <w:rPr>
                <w:rFonts w:cs="Times New Roman"/>
                <w:sz w:val="16"/>
                <w:szCs w:val="16"/>
              </w:rPr>
              <w:t>Estado abastece</w:t>
            </w:r>
            <w:r w:rsidR="00FD72BF">
              <w:rPr>
                <w:rFonts w:cs="Times New Roman"/>
                <w:sz w:val="16"/>
                <w:szCs w:val="16"/>
              </w:rPr>
              <w:t>rá</w:t>
            </w:r>
            <w:r>
              <w:rPr>
                <w:rFonts w:cs="Times New Roman"/>
                <w:sz w:val="16"/>
                <w:szCs w:val="16"/>
              </w:rPr>
              <w:t xml:space="preserve"> de agua a quienes evaden impuestos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4</w:t>
            </w:r>
            <w:r w:rsidR="00383A3B">
              <w:rPr>
                <w:rFonts w:cs="Times New Roman"/>
                <w:sz w:val="16"/>
                <w:szCs w:val="16"/>
              </w:rPr>
              <w:t>,23</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1,01</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0,801</w:t>
            </w:r>
          </w:p>
        </w:tc>
        <w:tc>
          <w:tcPr>
            <w:tcW w:w="236"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0,403</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2069DA" w:rsidRPr="008005CD" w:rsidTr="00D23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O2</w:t>
            </w:r>
          </w:p>
        </w:tc>
        <w:tc>
          <w:tcPr>
            <w:tcW w:w="3204"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El abastecimiento de agua s</w:t>
            </w:r>
            <w:r w:rsidR="00FD72BF">
              <w:rPr>
                <w:rFonts w:cs="Times New Roman"/>
                <w:sz w:val="16"/>
                <w:szCs w:val="16"/>
              </w:rPr>
              <w:t>erá</w:t>
            </w:r>
            <w:r>
              <w:rPr>
                <w:rFonts w:cs="Times New Roman"/>
                <w:sz w:val="16"/>
                <w:szCs w:val="16"/>
              </w:rPr>
              <w:t xml:space="preserve"> gratuito para quienes </w:t>
            </w:r>
            <w:r w:rsidR="00FD72BF">
              <w:rPr>
                <w:rFonts w:cs="Times New Roman"/>
                <w:sz w:val="16"/>
                <w:szCs w:val="16"/>
              </w:rPr>
              <w:t>promuevan</w:t>
            </w:r>
            <w:r>
              <w:rPr>
                <w:rFonts w:cs="Times New Roman"/>
                <w:sz w:val="16"/>
                <w:szCs w:val="16"/>
              </w:rPr>
              <w:t xml:space="preserve"> las elecciones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4</w:t>
            </w:r>
            <w:r w:rsidR="00383A3B">
              <w:rPr>
                <w:rFonts w:cs="Times New Roman"/>
                <w:sz w:val="16"/>
                <w:szCs w:val="16"/>
              </w:rPr>
              <w:t>,35</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1,03</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0,843</w:t>
            </w:r>
          </w:p>
        </w:tc>
        <w:tc>
          <w:tcPr>
            <w:tcW w:w="236"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0,405</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2069DA" w:rsidRPr="008005CD" w:rsidTr="00D23210">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O3</w:t>
            </w:r>
          </w:p>
        </w:tc>
        <w:tc>
          <w:tcPr>
            <w:tcW w:w="3204"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El Estado subsidia</w:t>
            </w:r>
            <w:r w:rsidR="00FD72BF">
              <w:rPr>
                <w:rFonts w:cs="Times New Roman"/>
                <w:sz w:val="16"/>
                <w:szCs w:val="16"/>
              </w:rPr>
              <w:t>rá</w:t>
            </w:r>
            <w:r>
              <w:rPr>
                <w:rFonts w:cs="Times New Roman"/>
                <w:sz w:val="16"/>
                <w:szCs w:val="16"/>
              </w:rPr>
              <w:t xml:space="preserve"> a quienes lo apoyan en las elecciones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4</w:t>
            </w:r>
            <w:r w:rsidR="00383A3B">
              <w:rPr>
                <w:rFonts w:cs="Times New Roman"/>
                <w:sz w:val="16"/>
                <w:szCs w:val="16"/>
              </w:rPr>
              <w:t>,46</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1,43</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0,805</w:t>
            </w:r>
          </w:p>
        </w:tc>
        <w:tc>
          <w:tcPr>
            <w:tcW w:w="236"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0,404</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2069DA" w:rsidRPr="008005CD" w:rsidTr="00D23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O4</w:t>
            </w:r>
          </w:p>
        </w:tc>
        <w:tc>
          <w:tcPr>
            <w:tcW w:w="3204"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 xml:space="preserve">El </w:t>
            </w:r>
            <w:r w:rsidR="00FD72BF">
              <w:rPr>
                <w:rFonts w:cs="Times New Roman"/>
                <w:sz w:val="16"/>
                <w:szCs w:val="16"/>
              </w:rPr>
              <w:t xml:space="preserve">suministro de agua </w:t>
            </w:r>
            <w:r>
              <w:rPr>
                <w:rFonts w:cs="Times New Roman"/>
                <w:sz w:val="16"/>
                <w:szCs w:val="16"/>
              </w:rPr>
              <w:t>s</w:t>
            </w:r>
            <w:r w:rsidR="00FD72BF">
              <w:rPr>
                <w:rFonts w:cs="Times New Roman"/>
                <w:sz w:val="16"/>
                <w:szCs w:val="16"/>
              </w:rPr>
              <w:t>e</w:t>
            </w:r>
            <w:r>
              <w:rPr>
                <w:rFonts w:cs="Times New Roman"/>
                <w:sz w:val="16"/>
                <w:szCs w:val="16"/>
              </w:rPr>
              <w:t xml:space="preserve"> restring</w:t>
            </w:r>
            <w:r w:rsidR="00FD72BF">
              <w:rPr>
                <w:rFonts w:cs="Times New Roman"/>
                <w:sz w:val="16"/>
                <w:szCs w:val="16"/>
              </w:rPr>
              <w:t>irá</w:t>
            </w:r>
            <w:r>
              <w:rPr>
                <w:rFonts w:cs="Times New Roman"/>
                <w:sz w:val="16"/>
                <w:szCs w:val="16"/>
              </w:rPr>
              <w:t xml:space="preserve"> a quienes les serán condonadas sus deudas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4</w:t>
            </w:r>
            <w:r w:rsidR="00383A3B">
              <w:rPr>
                <w:rFonts w:cs="Times New Roman"/>
                <w:sz w:val="16"/>
                <w:szCs w:val="16"/>
              </w:rPr>
              <w:t>,29</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1,26</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0,816</w:t>
            </w:r>
          </w:p>
        </w:tc>
        <w:tc>
          <w:tcPr>
            <w:tcW w:w="236"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0,407</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2069DA" w:rsidRPr="008005CD" w:rsidTr="00D23210">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05</w:t>
            </w:r>
          </w:p>
        </w:tc>
        <w:tc>
          <w:tcPr>
            <w:tcW w:w="3204"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El Estado incrementa</w:t>
            </w:r>
            <w:r w:rsidR="00FD72BF">
              <w:rPr>
                <w:rFonts w:cs="Times New Roman"/>
                <w:sz w:val="16"/>
                <w:szCs w:val="16"/>
              </w:rPr>
              <w:t>rá</w:t>
            </w:r>
            <w:r>
              <w:rPr>
                <w:rFonts w:cs="Times New Roman"/>
                <w:sz w:val="16"/>
                <w:szCs w:val="16"/>
              </w:rPr>
              <w:t xml:space="preserve"> las tarifas a quienes pagan sus impuestos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4</w:t>
            </w:r>
            <w:r w:rsidR="00383A3B">
              <w:rPr>
                <w:rFonts w:cs="Times New Roman"/>
                <w:sz w:val="16"/>
                <w:szCs w:val="16"/>
              </w:rPr>
              <w:t>,03</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1,47</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0,832</w:t>
            </w:r>
          </w:p>
        </w:tc>
        <w:tc>
          <w:tcPr>
            <w:tcW w:w="236"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0,461</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2069DA" w:rsidRPr="008005CD" w:rsidTr="00D23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lastRenderedPageBreak/>
              <w:t>06</w:t>
            </w:r>
          </w:p>
        </w:tc>
        <w:tc>
          <w:tcPr>
            <w:tcW w:w="3204" w:type="pct"/>
            <w:shd w:val="clear" w:color="auto" w:fill="auto"/>
          </w:tcPr>
          <w:p w:rsidR="008005CD" w:rsidRPr="008005CD" w:rsidRDefault="001D0999"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 xml:space="preserve">El </w:t>
            </w:r>
            <w:r w:rsidR="00FD72BF">
              <w:rPr>
                <w:rFonts w:cs="Times New Roman"/>
                <w:sz w:val="16"/>
                <w:szCs w:val="16"/>
              </w:rPr>
              <w:t xml:space="preserve">servicio hídrico </w:t>
            </w:r>
            <w:r>
              <w:rPr>
                <w:rFonts w:cs="Times New Roman"/>
                <w:sz w:val="16"/>
                <w:szCs w:val="16"/>
              </w:rPr>
              <w:t>s</w:t>
            </w:r>
            <w:r w:rsidR="00FD72BF">
              <w:rPr>
                <w:rFonts w:cs="Times New Roman"/>
                <w:sz w:val="16"/>
                <w:szCs w:val="16"/>
              </w:rPr>
              <w:t>erá</w:t>
            </w:r>
            <w:r>
              <w:rPr>
                <w:rFonts w:cs="Times New Roman"/>
                <w:sz w:val="16"/>
                <w:szCs w:val="16"/>
              </w:rPr>
              <w:t xml:space="preserve"> justo para quienes financian las campañas políticas</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4</w:t>
            </w:r>
            <w:r w:rsidR="00383A3B">
              <w:rPr>
                <w:rFonts w:cs="Times New Roman"/>
                <w:sz w:val="16"/>
                <w:szCs w:val="16"/>
              </w:rPr>
              <w:t>,52</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1,49</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0,805</w:t>
            </w:r>
          </w:p>
        </w:tc>
        <w:tc>
          <w:tcPr>
            <w:tcW w:w="236"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0,437</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2069DA" w:rsidRPr="008005CD" w:rsidTr="00D23210">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07</w:t>
            </w:r>
          </w:p>
        </w:tc>
        <w:tc>
          <w:tcPr>
            <w:tcW w:w="3204" w:type="pct"/>
            <w:shd w:val="clear" w:color="auto" w:fill="auto"/>
          </w:tcPr>
          <w:p w:rsidR="008005CD" w:rsidRPr="008005CD" w:rsidRDefault="001D0999"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El Estado condona</w:t>
            </w:r>
            <w:r w:rsidR="00FD72BF">
              <w:rPr>
                <w:rFonts w:cs="Times New Roman"/>
                <w:sz w:val="16"/>
                <w:szCs w:val="16"/>
              </w:rPr>
              <w:t>rá</w:t>
            </w:r>
            <w:r>
              <w:rPr>
                <w:rFonts w:cs="Times New Roman"/>
                <w:sz w:val="16"/>
                <w:szCs w:val="16"/>
              </w:rPr>
              <w:t xml:space="preserve"> el pago del servicio hídrico a quienes ahorran agua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4</w:t>
            </w:r>
            <w:r w:rsidR="00383A3B">
              <w:rPr>
                <w:rFonts w:cs="Times New Roman"/>
                <w:sz w:val="16"/>
                <w:szCs w:val="16"/>
              </w:rPr>
              <w:t>,68</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1,85</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0,803</w:t>
            </w:r>
          </w:p>
        </w:tc>
        <w:tc>
          <w:tcPr>
            <w:tcW w:w="236"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0,497</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2069DA" w:rsidRPr="008005CD" w:rsidTr="00D23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p>
        </w:tc>
        <w:tc>
          <w:tcPr>
            <w:tcW w:w="3204"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i/>
                <w:sz w:val="16"/>
                <w:szCs w:val="16"/>
              </w:rPr>
            </w:pPr>
            <w:r w:rsidRPr="008005CD">
              <w:rPr>
                <w:rFonts w:cs="Times New Roman"/>
                <w:i/>
                <w:sz w:val="16"/>
                <w:szCs w:val="16"/>
              </w:rPr>
              <w:t>Anclaje sociopolítico (</w:t>
            </w:r>
            <w:r w:rsidR="00FD72BF">
              <w:rPr>
                <w:rFonts w:cs="Times New Roman"/>
                <w:i/>
                <w:sz w:val="16"/>
                <w:szCs w:val="16"/>
              </w:rPr>
              <w:t xml:space="preserve">expectativa de </w:t>
            </w:r>
            <w:r w:rsidRPr="008005CD">
              <w:rPr>
                <w:rFonts w:cs="Times New Roman"/>
                <w:i/>
                <w:sz w:val="16"/>
                <w:szCs w:val="16"/>
              </w:rPr>
              <w:t>la calidad del servicio hídrico)</w:t>
            </w:r>
          </w:p>
        </w:tc>
        <w:tc>
          <w:tcPr>
            <w:tcW w:w="304"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304"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353" w:type="pct"/>
            <w:shd w:val="clear" w:color="auto" w:fill="auto"/>
          </w:tcPr>
          <w:p w:rsidR="008005CD" w:rsidRPr="004F5D5F"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b/>
                <w:i/>
                <w:sz w:val="16"/>
                <w:szCs w:val="16"/>
              </w:rPr>
            </w:pPr>
            <w:r>
              <w:rPr>
                <w:rFonts w:cs="Times New Roman"/>
                <w:b/>
                <w:i/>
                <w:sz w:val="16"/>
                <w:szCs w:val="16"/>
              </w:rPr>
              <w:t>0,884</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2069DA" w:rsidRPr="008005CD" w:rsidTr="00D23210">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A1</w:t>
            </w:r>
          </w:p>
        </w:tc>
        <w:tc>
          <w:tcPr>
            <w:tcW w:w="3204" w:type="pct"/>
            <w:shd w:val="clear" w:color="auto" w:fill="auto"/>
          </w:tcPr>
          <w:p w:rsidR="008005CD" w:rsidRPr="008005CD" w:rsidRDefault="00FD72B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 xml:space="preserve">El suministro intermitente del agua ocurrirá cuando se paga a tiempo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4,24</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1,93</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0,831</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36" w:type="pct"/>
            <w:shd w:val="clear" w:color="auto" w:fill="auto"/>
          </w:tcPr>
          <w:p w:rsidR="008005CD" w:rsidRPr="008005CD" w:rsidRDefault="002069DA"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0,415</w:t>
            </w:r>
          </w:p>
        </w:tc>
      </w:tr>
      <w:tr w:rsidR="002069DA" w:rsidRPr="008005CD" w:rsidTr="00D23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A2</w:t>
            </w:r>
          </w:p>
        </w:tc>
        <w:tc>
          <w:tcPr>
            <w:tcW w:w="3204" w:type="pct"/>
            <w:shd w:val="clear" w:color="auto" w:fill="auto"/>
          </w:tcPr>
          <w:p w:rsidR="008005CD" w:rsidRPr="008005CD" w:rsidRDefault="00FD72B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 xml:space="preserve">El Estado abastecerá sólo a quienes realizan el pago extemporáneo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4,02</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1,06</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0,842</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236" w:type="pct"/>
            <w:shd w:val="clear" w:color="auto" w:fill="auto"/>
          </w:tcPr>
          <w:p w:rsidR="008005CD" w:rsidRPr="008005CD" w:rsidRDefault="002069DA"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0,482</w:t>
            </w:r>
          </w:p>
        </w:tc>
      </w:tr>
      <w:tr w:rsidR="002069DA" w:rsidRPr="008005CD" w:rsidTr="00D23210">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A3</w:t>
            </w:r>
          </w:p>
        </w:tc>
        <w:tc>
          <w:tcPr>
            <w:tcW w:w="3204" w:type="pct"/>
            <w:shd w:val="clear" w:color="auto" w:fill="auto"/>
          </w:tcPr>
          <w:p w:rsidR="008005CD" w:rsidRPr="008005CD" w:rsidRDefault="00FD72B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 xml:space="preserve">El tandeo será para quienes le adeudan al Estado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4,81</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1,26</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0,853</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36" w:type="pct"/>
            <w:shd w:val="clear" w:color="auto" w:fill="auto"/>
          </w:tcPr>
          <w:p w:rsidR="008005CD" w:rsidRPr="008005CD" w:rsidRDefault="002069DA"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0,465</w:t>
            </w:r>
          </w:p>
        </w:tc>
      </w:tr>
      <w:tr w:rsidR="002069DA" w:rsidRPr="008005CD" w:rsidTr="00D23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A4</w:t>
            </w:r>
          </w:p>
        </w:tc>
        <w:tc>
          <w:tcPr>
            <w:tcW w:w="32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El envío de</w:t>
            </w:r>
            <w:r w:rsidR="00FD72BF">
              <w:rPr>
                <w:rFonts w:cs="Times New Roman"/>
                <w:sz w:val="16"/>
                <w:szCs w:val="16"/>
              </w:rPr>
              <w:t xml:space="preserve"> pipas de agua ocurrirá cuando el Estado condone deudas</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4,92</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1,58</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0,871</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236" w:type="pct"/>
            <w:shd w:val="clear" w:color="auto" w:fill="auto"/>
          </w:tcPr>
          <w:p w:rsidR="008005CD" w:rsidRPr="008005CD" w:rsidRDefault="002069DA"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0,476</w:t>
            </w:r>
          </w:p>
        </w:tc>
      </w:tr>
      <w:tr w:rsidR="002069DA" w:rsidRPr="008005CD" w:rsidTr="00D23210">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A5</w:t>
            </w:r>
          </w:p>
        </w:tc>
        <w:tc>
          <w:tcPr>
            <w:tcW w:w="3204" w:type="pct"/>
            <w:shd w:val="clear" w:color="auto" w:fill="auto"/>
          </w:tcPr>
          <w:p w:rsidR="008005CD" w:rsidRPr="008005CD" w:rsidRDefault="00FD72B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 xml:space="preserve">El boicot a tomas de agua se efectuará cuando la gente tenga adeudos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4,21</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1,94</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0,832</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36" w:type="pct"/>
            <w:shd w:val="clear" w:color="auto" w:fill="auto"/>
          </w:tcPr>
          <w:p w:rsidR="008005CD" w:rsidRPr="008005CD" w:rsidRDefault="002069DA"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0,415</w:t>
            </w:r>
          </w:p>
        </w:tc>
      </w:tr>
      <w:tr w:rsidR="002069DA" w:rsidRPr="008005CD" w:rsidTr="00D23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A6</w:t>
            </w:r>
          </w:p>
        </w:tc>
        <w:tc>
          <w:tcPr>
            <w:tcW w:w="3204" w:type="pct"/>
            <w:shd w:val="clear" w:color="auto" w:fill="auto"/>
          </w:tcPr>
          <w:p w:rsidR="008005CD" w:rsidRPr="008005CD" w:rsidRDefault="00FD72B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 xml:space="preserve">El cierre de avenidas será una medida contra el aumento de tarifas hídricas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4,43</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1,05</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0,854</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236" w:type="pct"/>
            <w:shd w:val="clear" w:color="auto" w:fill="auto"/>
          </w:tcPr>
          <w:p w:rsidR="008005CD" w:rsidRPr="008005CD" w:rsidRDefault="002069DA"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0,406</w:t>
            </w:r>
          </w:p>
        </w:tc>
      </w:tr>
      <w:tr w:rsidR="002069DA" w:rsidRPr="008005CD" w:rsidTr="00D23210">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rsidR="008005CD" w:rsidRPr="008005CD" w:rsidRDefault="008005CD" w:rsidP="003A0043">
            <w:pPr>
              <w:spacing w:before="100" w:beforeAutospacing="1" w:after="100" w:afterAutospacing="1" w:line="360" w:lineRule="auto"/>
              <w:jc w:val="both"/>
              <w:rPr>
                <w:rFonts w:cs="Times New Roman"/>
                <w:sz w:val="16"/>
                <w:szCs w:val="16"/>
              </w:rPr>
            </w:pPr>
            <w:r w:rsidRPr="008005CD">
              <w:rPr>
                <w:rFonts w:cs="Times New Roman"/>
                <w:sz w:val="16"/>
                <w:szCs w:val="16"/>
              </w:rPr>
              <w:t>A7</w:t>
            </w:r>
          </w:p>
        </w:tc>
        <w:tc>
          <w:tcPr>
            <w:tcW w:w="3204" w:type="pct"/>
            <w:shd w:val="clear" w:color="auto" w:fill="auto"/>
          </w:tcPr>
          <w:p w:rsidR="008005CD" w:rsidRPr="008005CD" w:rsidRDefault="00FD72B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 xml:space="preserve">La movilización ciudadana emergerá luego de que el Estado condone las deudas </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4,27</w:t>
            </w:r>
          </w:p>
        </w:tc>
        <w:tc>
          <w:tcPr>
            <w:tcW w:w="304"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1,37</w:t>
            </w:r>
          </w:p>
        </w:tc>
        <w:tc>
          <w:tcPr>
            <w:tcW w:w="353" w:type="pct"/>
            <w:shd w:val="clear" w:color="auto" w:fill="auto"/>
          </w:tcPr>
          <w:p w:rsidR="008005CD" w:rsidRPr="008005CD" w:rsidRDefault="004F5D5F"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0,815</w:t>
            </w:r>
          </w:p>
        </w:tc>
        <w:tc>
          <w:tcPr>
            <w:tcW w:w="236" w:type="pct"/>
            <w:shd w:val="clear" w:color="auto" w:fill="auto"/>
          </w:tcPr>
          <w:p w:rsidR="008005CD" w:rsidRPr="008005CD" w:rsidRDefault="008005CD"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36" w:type="pct"/>
            <w:shd w:val="clear" w:color="auto" w:fill="auto"/>
          </w:tcPr>
          <w:p w:rsidR="008005CD" w:rsidRPr="008005CD" w:rsidRDefault="002069DA"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0,417</w:t>
            </w:r>
          </w:p>
        </w:tc>
      </w:tr>
    </w:tbl>
    <w:p w:rsidR="002069DA" w:rsidRPr="003A0043" w:rsidRDefault="002069DA" w:rsidP="003A0043">
      <w:pPr>
        <w:spacing w:before="100" w:beforeAutospacing="1" w:after="100" w:afterAutospacing="1" w:line="360" w:lineRule="auto"/>
        <w:jc w:val="both"/>
        <w:rPr>
          <w:rFonts w:cs="Times New Roman"/>
          <w:sz w:val="16"/>
          <w:szCs w:val="16"/>
        </w:rPr>
      </w:pPr>
      <w:r w:rsidRPr="003A0043">
        <w:rPr>
          <w:rFonts w:cs="Times New Roman"/>
          <w:sz w:val="16"/>
          <w:szCs w:val="16"/>
        </w:rPr>
        <w:t xml:space="preserve">Método de extracción: ejes principales, rotación </w:t>
      </w:r>
      <w:proofErr w:type="spellStart"/>
      <w:r w:rsidRPr="003A0043">
        <w:rPr>
          <w:rFonts w:cs="Times New Roman"/>
          <w:sz w:val="16"/>
          <w:szCs w:val="16"/>
        </w:rPr>
        <w:t>varimax</w:t>
      </w:r>
      <w:proofErr w:type="spellEnd"/>
      <w:r w:rsidRPr="003A0043">
        <w:rPr>
          <w:rFonts w:cs="Times New Roman"/>
          <w:sz w:val="16"/>
          <w:szCs w:val="16"/>
        </w:rPr>
        <w:t xml:space="preserve">, análisis factorial exploratorio. Adecuación y esfericidad ⌠χ2= 324, 35 (214 </w:t>
      </w:r>
      <w:proofErr w:type="spellStart"/>
      <w:r w:rsidRPr="003A0043">
        <w:rPr>
          <w:rFonts w:cs="Times New Roman"/>
          <w:sz w:val="16"/>
          <w:szCs w:val="16"/>
        </w:rPr>
        <w:t>gl</w:t>
      </w:r>
      <w:proofErr w:type="spellEnd"/>
      <w:r w:rsidRPr="003A0043">
        <w:rPr>
          <w:rFonts w:cs="Times New Roman"/>
          <w:sz w:val="16"/>
          <w:szCs w:val="16"/>
        </w:rPr>
        <w:t xml:space="preserve">) p = 0,000; KMO = 0,538⌡. M = Media, DE = Desviación estándar, F1 = objetivación sociopolítica de la calidad y costo del servicio hídrico (34% de la varianza total explicada), F2 = Anclaje de la calidad y costo del servicio hídrico (22% de la varianza total explicada). </w:t>
      </w:r>
      <w:r w:rsidR="00D919CF" w:rsidRPr="003A0043">
        <w:rPr>
          <w:rFonts w:cs="Times New Roman"/>
          <w:sz w:val="16"/>
          <w:szCs w:val="16"/>
        </w:rPr>
        <w:t xml:space="preserve">Todos los ítems incluyen las mismas opciones de respuesta: 0 = nada probable, 1 = muy poco probable, 2 = poco probable, 3 = probable, 4 = algo probable, 5 = muy probable. </w:t>
      </w:r>
    </w:p>
    <w:p w:rsidR="00476A83" w:rsidRDefault="00476A83" w:rsidP="003A0043">
      <w:pPr>
        <w:spacing w:before="100" w:beforeAutospacing="1" w:after="100" w:afterAutospacing="1" w:line="360" w:lineRule="auto"/>
        <w:ind w:left="567" w:hanging="567"/>
        <w:jc w:val="both"/>
        <w:rPr>
          <w:rFonts w:cs="Times New Roman"/>
          <w:szCs w:val="24"/>
        </w:rPr>
      </w:pPr>
      <w:r>
        <w:rPr>
          <w:rFonts w:cs="Times New Roman"/>
          <w:szCs w:val="24"/>
        </w:rPr>
        <w:t>Fuente: Elaborada con los datos del estudio</w:t>
      </w:r>
    </w:p>
    <w:p w:rsidR="000302FB" w:rsidRPr="00476A83" w:rsidRDefault="000302FB" w:rsidP="000302FB">
      <w:pPr>
        <w:spacing w:before="100" w:beforeAutospacing="1" w:after="100" w:afterAutospacing="1" w:line="360" w:lineRule="auto"/>
        <w:jc w:val="both"/>
        <w:rPr>
          <w:rFonts w:cs="Times New Roman"/>
          <w:szCs w:val="24"/>
        </w:rPr>
      </w:pPr>
      <w:r w:rsidRPr="000302FB">
        <w:rPr>
          <w:rFonts w:cs="Times New Roman"/>
          <w:szCs w:val="24"/>
        </w:rPr>
        <w:t xml:space="preserve">La adecuación y la esfericidad ⌠χ2= 324, 35 (214 </w:t>
      </w:r>
      <w:proofErr w:type="spellStart"/>
      <w:r w:rsidRPr="000302FB">
        <w:rPr>
          <w:rFonts w:cs="Times New Roman"/>
          <w:szCs w:val="24"/>
        </w:rPr>
        <w:t>gl</w:t>
      </w:r>
      <w:proofErr w:type="spellEnd"/>
      <w:r w:rsidRPr="000302FB">
        <w:rPr>
          <w:rFonts w:cs="Times New Roman"/>
          <w:szCs w:val="24"/>
        </w:rPr>
        <w:t xml:space="preserve">) p = 0,000; KMO = 0,538⌡ permitieron el </w:t>
      </w:r>
      <w:r>
        <w:rPr>
          <w:rFonts w:cs="Times New Roman"/>
          <w:szCs w:val="24"/>
        </w:rPr>
        <w:t xml:space="preserve">análisis factorial exploratorio de ejes principales con rotación </w:t>
      </w:r>
      <w:proofErr w:type="spellStart"/>
      <w:r>
        <w:rPr>
          <w:rFonts w:cs="Times New Roman"/>
          <w:szCs w:val="24"/>
        </w:rPr>
        <w:t>promax</w:t>
      </w:r>
      <w:proofErr w:type="spellEnd"/>
      <w:r>
        <w:rPr>
          <w:rFonts w:cs="Times New Roman"/>
          <w:szCs w:val="24"/>
        </w:rPr>
        <w:t>. En el caso de la validez de constructo establecida mediante el cálculo de un modelo estructural ⌠χ2 = 246,34 (354gl) p = 0,000; GFI = 0,970; CFI = 0,990; RMSEA = 0,004⌡ambos factores fueron determinados positivamente por un factor de segundo orden relativo a las representaciones sociopolíticas (correlación de 0,613 para objetivación y correlación de 0,742 pata anclaje, así como correlación de 0,135 para ambos factores de primer orden).</w:t>
      </w:r>
    </w:p>
    <w:p w:rsidR="000302FB" w:rsidRPr="000302FB" w:rsidRDefault="000302FB" w:rsidP="000302FB">
      <w:pPr>
        <w:spacing w:before="100" w:beforeAutospacing="1" w:after="100" w:afterAutospacing="1" w:line="360" w:lineRule="auto"/>
        <w:jc w:val="both"/>
        <w:rPr>
          <w:rFonts w:cs="Times New Roman"/>
          <w:szCs w:val="24"/>
        </w:rPr>
      </w:pPr>
      <w:r>
        <w:rPr>
          <w:rFonts w:cs="Times New Roman"/>
          <w:szCs w:val="24"/>
        </w:rPr>
        <w:t xml:space="preserve">En virtud de que los índices de ajuste muestran que las dimensiones de objetivación y anclaje se ajustan a los datos observados, se aceptó la hipótesis nula. </w:t>
      </w:r>
    </w:p>
    <w:p w:rsidR="00560960" w:rsidRDefault="00560960" w:rsidP="003A0043">
      <w:pPr>
        <w:spacing w:before="100" w:beforeAutospacing="1" w:after="100" w:afterAutospacing="1" w:line="360" w:lineRule="auto"/>
        <w:ind w:left="567" w:hanging="567"/>
        <w:jc w:val="both"/>
        <w:rPr>
          <w:rFonts w:cs="Times New Roman"/>
          <w:b/>
          <w:szCs w:val="24"/>
        </w:rPr>
      </w:pPr>
      <w:r>
        <w:rPr>
          <w:rFonts w:cs="Times New Roman"/>
          <w:b/>
          <w:szCs w:val="24"/>
        </w:rPr>
        <w:t xml:space="preserve">Discusión </w:t>
      </w:r>
    </w:p>
    <w:p w:rsidR="000302FB" w:rsidRDefault="000302FB" w:rsidP="000302FB">
      <w:pPr>
        <w:spacing w:before="100" w:beforeAutospacing="1" w:after="100" w:afterAutospacing="1" w:line="360" w:lineRule="auto"/>
        <w:jc w:val="both"/>
        <w:rPr>
          <w:rFonts w:cs="Times New Roman"/>
          <w:szCs w:val="24"/>
        </w:rPr>
      </w:pPr>
      <w:r>
        <w:rPr>
          <w:rFonts w:cs="Times New Roman"/>
          <w:szCs w:val="24"/>
        </w:rPr>
        <w:t xml:space="preserve">El aporte del presente trabajo al estado del conocimiento radica en el establecimiento de la confiabilidad y la validez de un instrumento que mide dos dimensiones, objetivación y anclaje, de las representaciones sociopolíticas en torno a la calidad y el costo del servicio hídrico. </w:t>
      </w:r>
    </w:p>
    <w:p w:rsidR="000302FB" w:rsidRDefault="000302FB" w:rsidP="000302FB">
      <w:pPr>
        <w:spacing w:before="100" w:beforeAutospacing="1" w:after="100" w:afterAutospacing="1" w:line="360" w:lineRule="auto"/>
        <w:jc w:val="both"/>
        <w:rPr>
          <w:rFonts w:cs="Times New Roman"/>
          <w:szCs w:val="24"/>
        </w:rPr>
      </w:pPr>
      <w:r>
        <w:rPr>
          <w:rFonts w:cs="Times New Roman"/>
          <w:szCs w:val="24"/>
        </w:rPr>
        <w:lastRenderedPageBreak/>
        <w:t xml:space="preserve">Empero, el estudio tiene como límites su diseño exploratorio y no confirmatorio de la escala de Representaciones </w:t>
      </w:r>
      <w:proofErr w:type="spellStart"/>
      <w:r>
        <w:rPr>
          <w:rFonts w:cs="Times New Roman"/>
          <w:szCs w:val="24"/>
        </w:rPr>
        <w:t>Soociopolíticas</w:t>
      </w:r>
      <w:proofErr w:type="spellEnd"/>
      <w:r>
        <w:rPr>
          <w:rFonts w:cs="Times New Roman"/>
          <w:szCs w:val="24"/>
        </w:rPr>
        <w:t xml:space="preserve"> de Carreón et al., (2015), así como la selección no probabilística de la muestra que, en temporada electoral, contestó a 14 aseveraciones que responsabilizaron al Estado de la calidad y el costo del servicio de agua potable, suministro y abastecimiento, así como su responsabilidad directa en el aumento, subsidio y condonación de tarifas y su responsabilidad indirecta en la insalubridad, las enfermedades </w:t>
      </w:r>
      <w:proofErr w:type="spellStart"/>
      <w:r>
        <w:rPr>
          <w:rFonts w:cs="Times New Roman"/>
          <w:szCs w:val="24"/>
        </w:rPr>
        <w:t>hidrotransmitidas</w:t>
      </w:r>
      <w:proofErr w:type="spellEnd"/>
      <w:r>
        <w:rPr>
          <w:rFonts w:cs="Times New Roman"/>
          <w:szCs w:val="24"/>
        </w:rPr>
        <w:t xml:space="preserve"> y los conflictos con los usuarios morosos o disidentes del sistema. </w:t>
      </w:r>
    </w:p>
    <w:p w:rsidR="000302FB" w:rsidRDefault="000302FB" w:rsidP="000302FB">
      <w:pPr>
        <w:spacing w:before="100" w:beforeAutospacing="1" w:after="100" w:afterAutospacing="1" w:line="360" w:lineRule="auto"/>
        <w:jc w:val="both"/>
        <w:rPr>
          <w:rFonts w:cs="Times New Roman"/>
          <w:szCs w:val="24"/>
        </w:rPr>
      </w:pPr>
      <w:r>
        <w:rPr>
          <w:rFonts w:cs="Times New Roman"/>
          <w:szCs w:val="24"/>
        </w:rPr>
        <w:t xml:space="preserve">Además, las representaciones sociopolíticas, a diferencia de las representaciones sociales, tienen un núcleo figurativo permanente en el que gobernantes y gobernados </w:t>
      </w:r>
      <w:r w:rsidR="00B70E57">
        <w:rPr>
          <w:rFonts w:cs="Times New Roman"/>
          <w:szCs w:val="24"/>
        </w:rPr>
        <w:t xml:space="preserve">han sido antagónicos y no se han tomado en cuanta para el establecimiento de un sistema de calidad y cobro justo por el servicio hídrico. </w:t>
      </w:r>
    </w:p>
    <w:p w:rsidR="00B70E57" w:rsidRDefault="00B70E57" w:rsidP="000302FB">
      <w:pPr>
        <w:spacing w:before="100" w:beforeAutospacing="1" w:after="100" w:afterAutospacing="1" w:line="360" w:lineRule="auto"/>
        <w:jc w:val="both"/>
        <w:rPr>
          <w:rFonts w:cs="Times New Roman"/>
          <w:szCs w:val="24"/>
        </w:rPr>
      </w:pPr>
      <w:r>
        <w:rPr>
          <w:rFonts w:cs="Times New Roman"/>
          <w:szCs w:val="24"/>
        </w:rPr>
        <w:t xml:space="preserve">Por lo tanto, las representaciones sociopolíticas parecen ser un diagnóstico sesgado de las representaciones sociales de la disponibilidad de agua y sus efectos en la economía y los estilos de vida residenciales. En este tenor, la literatura consultada advierte que al ser considerada como un bien público el agua está condenada a ser auspiciada por el Estado mediante un sistema de aumento de tarifas, subsidios y condonaciones. </w:t>
      </w:r>
    </w:p>
    <w:p w:rsidR="00B70E57" w:rsidRDefault="00B70E57" w:rsidP="000302FB">
      <w:pPr>
        <w:spacing w:before="100" w:beforeAutospacing="1" w:after="100" w:afterAutospacing="1" w:line="360" w:lineRule="auto"/>
        <w:jc w:val="both"/>
        <w:rPr>
          <w:rFonts w:cs="Times New Roman"/>
          <w:szCs w:val="24"/>
        </w:rPr>
      </w:pPr>
      <w:r>
        <w:rPr>
          <w:rFonts w:cs="Times New Roman"/>
          <w:szCs w:val="24"/>
        </w:rPr>
        <w:t xml:space="preserve">Si se considerará un bien común, el agua determinaría un cuidado permanente sin importar las representaciones sociales o las representaciones sociopolíticas, ya que la sola consideración de bien común influiría en su respeto y cuidado </w:t>
      </w:r>
      <w:r w:rsidR="00CC0327">
        <w:rPr>
          <w:rFonts w:cs="Times New Roman"/>
          <w:szCs w:val="24"/>
        </w:rPr>
        <w:t xml:space="preserve">tal y como ocurre con los patrimonios de la sociedad civil. </w:t>
      </w:r>
    </w:p>
    <w:p w:rsidR="008D01BF" w:rsidRDefault="008D01BF" w:rsidP="000302FB">
      <w:pPr>
        <w:spacing w:before="100" w:beforeAutospacing="1" w:after="100" w:afterAutospacing="1" w:line="360" w:lineRule="auto"/>
        <w:jc w:val="both"/>
        <w:rPr>
          <w:rFonts w:cs="Times New Roman"/>
          <w:szCs w:val="24"/>
        </w:rPr>
      </w:pPr>
      <w:r>
        <w:rPr>
          <w:rFonts w:cs="Times New Roman"/>
          <w:szCs w:val="24"/>
        </w:rPr>
        <w:t xml:space="preserve">Se recomienda un estudio confirmatorio de componentes principales con rotación </w:t>
      </w:r>
      <w:proofErr w:type="spellStart"/>
      <w:r>
        <w:rPr>
          <w:rFonts w:cs="Times New Roman"/>
          <w:szCs w:val="24"/>
        </w:rPr>
        <w:t>varimax</w:t>
      </w:r>
      <w:proofErr w:type="spellEnd"/>
      <w:r>
        <w:rPr>
          <w:rFonts w:cs="Times New Roman"/>
          <w:szCs w:val="24"/>
        </w:rPr>
        <w:t xml:space="preserve"> para demostrar la validez del constructo, así como una selección probabilística para la elaboración de políticas universales en torno a la conservación del agua, su optimización, reutilización y reciclaje. </w:t>
      </w:r>
    </w:p>
    <w:p w:rsidR="009B2783" w:rsidRPr="000302FB" w:rsidRDefault="009B2783" w:rsidP="000302FB">
      <w:pPr>
        <w:spacing w:before="100" w:beforeAutospacing="1" w:after="100" w:afterAutospacing="1" w:line="360" w:lineRule="auto"/>
        <w:jc w:val="both"/>
        <w:rPr>
          <w:rFonts w:cs="Times New Roman"/>
          <w:szCs w:val="24"/>
        </w:rPr>
      </w:pPr>
      <w:r>
        <w:rPr>
          <w:rFonts w:cs="Times New Roman"/>
          <w:szCs w:val="24"/>
        </w:rPr>
        <w:t xml:space="preserve">Además, se propone un estudio comparativo entre los constructos de representaciones sociales y los constructos de representaciones sociopolíticas en escenarios electorales o libres de proselitismo y contienda política a fin de poder establecer las diferencias entre </w:t>
      </w:r>
      <w:r>
        <w:rPr>
          <w:rFonts w:cs="Times New Roman"/>
          <w:szCs w:val="24"/>
        </w:rPr>
        <w:lastRenderedPageBreak/>
        <w:t xml:space="preserve">gobernantes y gobernados con respecto a los contextos y las mediciones de constructos heterogéneos. </w:t>
      </w:r>
    </w:p>
    <w:p w:rsidR="00560960" w:rsidRDefault="00560960" w:rsidP="003A0043">
      <w:pPr>
        <w:spacing w:before="100" w:beforeAutospacing="1" w:after="100" w:afterAutospacing="1" w:line="360" w:lineRule="auto"/>
        <w:ind w:left="567" w:hanging="567"/>
        <w:jc w:val="both"/>
        <w:rPr>
          <w:rFonts w:cs="Times New Roman"/>
          <w:b/>
          <w:szCs w:val="24"/>
        </w:rPr>
      </w:pPr>
      <w:r>
        <w:rPr>
          <w:rFonts w:cs="Times New Roman"/>
          <w:b/>
          <w:szCs w:val="24"/>
        </w:rPr>
        <w:t xml:space="preserve">Conclusión </w:t>
      </w:r>
    </w:p>
    <w:p w:rsidR="00810248" w:rsidRPr="00810248" w:rsidRDefault="00810248" w:rsidP="00810248">
      <w:pPr>
        <w:spacing w:before="100" w:beforeAutospacing="1" w:after="100" w:afterAutospacing="1" w:line="360" w:lineRule="auto"/>
        <w:jc w:val="both"/>
        <w:rPr>
          <w:rFonts w:cs="Times New Roman"/>
          <w:szCs w:val="24"/>
        </w:rPr>
      </w:pPr>
      <w:r>
        <w:rPr>
          <w:rFonts w:cs="Times New Roman"/>
          <w:szCs w:val="24"/>
        </w:rPr>
        <w:t xml:space="preserve">En la muestra y contexto de estudio, las representaciones sociopolíticas son un constructo que explica y anticipa escenarios de conflictos entre autoridades locales y usuarios domésticos ante la calidad y el costo del servicio de agua potable. </w:t>
      </w:r>
      <w:r w:rsidR="00E90725">
        <w:rPr>
          <w:rFonts w:cs="Times New Roman"/>
          <w:szCs w:val="24"/>
        </w:rPr>
        <w:t xml:space="preserve">La objetivación y el anclaje son dos dimensiones desde las que se observan </w:t>
      </w:r>
      <w:proofErr w:type="gramStart"/>
      <w:r w:rsidR="00E90725">
        <w:rPr>
          <w:rFonts w:cs="Times New Roman"/>
          <w:szCs w:val="24"/>
        </w:rPr>
        <w:t>tendencia preponderantes</w:t>
      </w:r>
      <w:proofErr w:type="gramEnd"/>
      <w:r w:rsidR="00E90725">
        <w:rPr>
          <w:rFonts w:cs="Times New Roman"/>
          <w:szCs w:val="24"/>
        </w:rPr>
        <w:t xml:space="preserve"> de desencuentros entre los actores políticos y sociales, sus expectativas e intencionalidades que conformarán escenarios de </w:t>
      </w:r>
      <w:r w:rsidR="00380707">
        <w:rPr>
          <w:rFonts w:cs="Times New Roman"/>
          <w:szCs w:val="24"/>
        </w:rPr>
        <w:t xml:space="preserve">guerra por la gestión y administración de los recursos hídricos en sus distintas modalidades y disponibilidades. </w:t>
      </w:r>
    </w:p>
    <w:p w:rsidR="00560960" w:rsidRPr="00560960" w:rsidRDefault="00560960" w:rsidP="003A0043">
      <w:pPr>
        <w:spacing w:before="100" w:beforeAutospacing="1" w:after="100" w:afterAutospacing="1" w:line="360" w:lineRule="auto"/>
        <w:ind w:left="567" w:hanging="567"/>
        <w:jc w:val="both"/>
        <w:rPr>
          <w:rFonts w:cs="Times New Roman"/>
          <w:b/>
          <w:szCs w:val="24"/>
        </w:rPr>
      </w:pPr>
      <w:r>
        <w:rPr>
          <w:rFonts w:cs="Times New Roman"/>
          <w:b/>
          <w:szCs w:val="24"/>
        </w:rPr>
        <w:t xml:space="preserve">Referencias </w:t>
      </w:r>
    </w:p>
    <w:p w:rsidR="00D722FF" w:rsidRPr="0042380B" w:rsidRDefault="00D722FF" w:rsidP="003A0043">
      <w:pPr>
        <w:spacing w:before="100" w:beforeAutospacing="1" w:after="100" w:afterAutospacing="1" w:line="360" w:lineRule="auto"/>
        <w:ind w:left="567" w:hanging="567"/>
        <w:jc w:val="both"/>
        <w:rPr>
          <w:rFonts w:cs="Times New Roman"/>
          <w:szCs w:val="24"/>
        </w:rPr>
      </w:pPr>
      <w:r>
        <w:rPr>
          <w:rFonts w:cs="Times New Roman"/>
          <w:szCs w:val="24"/>
        </w:rPr>
        <w:t xml:space="preserve">Aguilar, J.A., Carreón, J. García, C., Hernández, J. y Rosas, F.J. (2015). Gobernanza de actitudes sociopolíticas. </w:t>
      </w:r>
      <w:r>
        <w:rPr>
          <w:rFonts w:cs="Times New Roman"/>
          <w:i/>
          <w:szCs w:val="24"/>
        </w:rPr>
        <w:t xml:space="preserve">Perspectivas Rurales, </w:t>
      </w:r>
      <w:r>
        <w:rPr>
          <w:rFonts w:cs="Times New Roman"/>
          <w:szCs w:val="24"/>
        </w:rPr>
        <w:t>14 (27), 107-148</w:t>
      </w:r>
    </w:p>
    <w:p w:rsidR="00D722FF" w:rsidRPr="00560960" w:rsidRDefault="00D722FF" w:rsidP="003A0043">
      <w:pPr>
        <w:spacing w:before="100" w:beforeAutospacing="1" w:after="100" w:afterAutospacing="1" w:line="360" w:lineRule="auto"/>
        <w:ind w:left="567" w:hanging="567"/>
        <w:jc w:val="both"/>
        <w:rPr>
          <w:rFonts w:cs="Times New Roman"/>
          <w:szCs w:val="24"/>
        </w:rPr>
      </w:pPr>
      <w:r w:rsidRPr="00560960">
        <w:rPr>
          <w:rFonts w:cs="Times New Roman"/>
          <w:szCs w:val="24"/>
        </w:rPr>
        <w:t xml:space="preserve">Anaya, G. (2014). Antropocentrismo: ¿un concepto equivoco? </w:t>
      </w:r>
      <w:proofErr w:type="spellStart"/>
      <w:r w:rsidRPr="00560960">
        <w:rPr>
          <w:rFonts w:cs="Times New Roman"/>
          <w:i/>
          <w:szCs w:val="24"/>
        </w:rPr>
        <w:t>Entretextos</w:t>
      </w:r>
      <w:proofErr w:type="spellEnd"/>
      <w:r w:rsidRPr="00560960">
        <w:rPr>
          <w:rFonts w:cs="Times New Roman"/>
          <w:i/>
          <w:szCs w:val="24"/>
        </w:rPr>
        <w:t xml:space="preserve">, 6 (7), </w:t>
      </w:r>
      <w:r w:rsidRPr="00560960">
        <w:rPr>
          <w:rFonts w:cs="Times New Roman"/>
          <w:szCs w:val="24"/>
        </w:rPr>
        <w:t>1-12</w:t>
      </w:r>
    </w:p>
    <w:p w:rsidR="00D722FF" w:rsidRPr="00F577A4" w:rsidRDefault="00D722FF" w:rsidP="003A0043">
      <w:pPr>
        <w:spacing w:before="100" w:beforeAutospacing="1" w:after="100" w:afterAutospacing="1" w:line="360" w:lineRule="auto"/>
        <w:ind w:left="567" w:hanging="567"/>
        <w:jc w:val="both"/>
        <w:rPr>
          <w:rFonts w:cs="Times New Roman"/>
          <w:szCs w:val="24"/>
        </w:rPr>
      </w:pPr>
      <w:r>
        <w:rPr>
          <w:rFonts w:cs="Times New Roman"/>
          <w:szCs w:val="24"/>
        </w:rPr>
        <w:t xml:space="preserve">Carreón, J., Bustos, J.M., García, C., Hernández J. y Mendoza, D. (2015). Utilización de SPSS y AMOS en un estudio del pensamiento ambientalista y las intenciones de voto en una muestra de estudiantes. </w:t>
      </w:r>
      <w:proofErr w:type="spellStart"/>
      <w:r>
        <w:rPr>
          <w:rFonts w:cs="Times New Roman"/>
          <w:i/>
          <w:szCs w:val="24"/>
        </w:rPr>
        <w:t>Multidisciplina</w:t>
      </w:r>
      <w:proofErr w:type="spellEnd"/>
      <w:r>
        <w:rPr>
          <w:rFonts w:cs="Times New Roman"/>
          <w:i/>
          <w:szCs w:val="24"/>
        </w:rPr>
        <w:t xml:space="preserve">, </w:t>
      </w:r>
      <w:r>
        <w:rPr>
          <w:rFonts w:cs="Times New Roman"/>
          <w:szCs w:val="24"/>
        </w:rPr>
        <w:t>20, 76-95</w:t>
      </w:r>
    </w:p>
    <w:p w:rsidR="00D722FF" w:rsidRPr="00560960" w:rsidRDefault="00D722FF" w:rsidP="003A0043">
      <w:pPr>
        <w:spacing w:before="100" w:beforeAutospacing="1" w:after="100" w:afterAutospacing="1" w:line="360" w:lineRule="auto"/>
        <w:ind w:left="567" w:hanging="567"/>
        <w:jc w:val="both"/>
        <w:rPr>
          <w:rFonts w:cs="Times New Roman"/>
          <w:szCs w:val="24"/>
        </w:rPr>
      </w:pPr>
      <w:r w:rsidRPr="00560960">
        <w:rPr>
          <w:rFonts w:cs="Times New Roman"/>
          <w:szCs w:val="24"/>
        </w:rPr>
        <w:t xml:space="preserve">Carreón, J., Hernández, J., García, C., Bustos, J., Morales, M. y Aguilar, J. (2014). La psicología de la sustentabilidad hídrica. Políticas públicas y modelos de consumo. </w:t>
      </w:r>
      <w:r w:rsidRPr="00560960">
        <w:rPr>
          <w:rFonts w:cs="Times New Roman"/>
          <w:i/>
          <w:szCs w:val="24"/>
        </w:rPr>
        <w:t xml:space="preserve">Aposta, 63, </w:t>
      </w:r>
      <w:r w:rsidRPr="00560960">
        <w:rPr>
          <w:rFonts w:cs="Times New Roman"/>
          <w:szCs w:val="24"/>
        </w:rPr>
        <w:t xml:space="preserve">1-29 </w:t>
      </w:r>
    </w:p>
    <w:p w:rsidR="00D722FF" w:rsidRPr="00560960" w:rsidRDefault="00D722FF" w:rsidP="003A0043">
      <w:pPr>
        <w:spacing w:before="100" w:beforeAutospacing="1" w:after="100" w:afterAutospacing="1" w:line="360" w:lineRule="auto"/>
        <w:ind w:left="567" w:hanging="567"/>
        <w:jc w:val="both"/>
        <w:rPr>
          <w:rFonts w:cs="Times New Roman"/>
          <w:szCs w:val="24"/>
        </w:rPr>
      </w:pPr>
      <w:r w:rsidRPr="00560960">
        <w:rPr>
          <w:rFonts w:cs="Times New Roman"/>
          <w:szCs w:val="24"/>
        </w:rPr>
        <w:t>Flores, R. (2013). Investigaciones de las representaciones sociales del medio ambiente en Brasil y México. 13 (1), 1-20</w:t>
      </w:r>
    </w:p>
    <w:p w:rsidR="00D722FF" w:rsidRPr="0049363A" w:rsidRDefault="00D722FF" w:rsidP="003A0043">
      <w:pPr>
        <w:spacing w:before="100" w:beforeAutospacing="1" w:after="100" w:afterAutospacing="1" w:line="360" w:lineRule="auto"/>
        <w:ind w:left="567" w:hanging="567"/>
        <w:jc w:val="both"/>
        <w:rPr>
          <w:rFonts w:cs="Times New Roman"/>
          <w:szCs w:val="24"/>
        </w:rPr>
      </w:pPr>
      <w:r>
        <w:rPr>
          <w:rFonts w:cs="Times New Roman"/>
          <w:szCs w:val="24"/>
        </w:rPr>
        <w:t>García, C., Ca</w:t>
      </w:r>
      <w:r w:rsidR="00662801">
        <w:rPr>
          <w:rFonts w:cs="Times New Roman"/>
          <w:szCs w:val="24"/>
        </w:rPr>
        <w:t>rreón, J. y Hernández, J. (2016</w:t>
      </w:r>
      <w:r>
        <w:rPr>
          <w:rFonts w:cs="Times New Roman"/>
          <w:szCs w:val="24"/>
        </w:rPr>
        <w:t xml:space="preserve">). Gobernanza de la seguridad pública a partir de la identidad y percepción de riesgo establecidos en la agenda ciudadana por los medios de comunicación. </w:t>
      </w:r>
      <w:r>
        <w:rPr>
          <w:rFonts w:cs="Times New Roman"/>
          <w:i/>
          <w:szCs w:val="24"/>
        </w:rPr>
        <w:t xml:space="preserve">Rumbos, </w:t>
      </w:r>
      <w:r>
        <w:rPr>
          <w:rFonts w:cs="Times New Roman"/>
          <w:szCs w:val="24"/>
        </w:rPr>
        <w:t>9 (13), 103-116</w:t>
      </w:r>
    </w:p>
    <w:p w:rsidR="00D722FF" w:rsidRPr="00F64D51" w:rsidRDefault="00D722FF" w:rsidP="003A0043">
      <w:pPr>
        <w:spacing w:before="100" w:beforeAutospacing="1" w:after="100" w:afterAutospacing="1" w:line="360" w:lineRule="auto"/>
        <w:ind w:left="567" w:hanging="567"/>
        <w:jc w:val="both"/>
        <w:rPr>
          <w:rFonts w:cs="Times New Roman"/>
          <w:szCs w:val="24"/>
        </w:rPr>
      </w:pPr>
      <w:r>
        <w:rPr>
          <w:rFonts w:cs="Times New Roman"/>
          <w:szCs w:val="24"/>
        </w:rPr>
        <w:lastRenderedPageBreak/>
        <w:t xml:space="preserve">García, C., Carreón, J., Hernández, J., Bustos, J.M. y Aguilar, J.A. (2016). Especificación de un modelo de hipermetropía sociopolítica. </w:t>
      </w:r>
      <w:r>
        <w:rPr>
          <w:rFonts w:cs="Times New Roman"/>
          <w:i/>
          <w:szCs w:val="24"/>
        </w:rPr>
        <w:t xml:space="preserve">Luna Azul, </w:t>
      </w:r>
      <w:r>
        <w:rPr>
          <w:rFonts w:cs="Times New Roman"/>
          <w:szCs w:val="24"/>
        </w:rPr>
        <w:t>42, 270-292</w:t>
      </w:r>
    </w:p>
    <w:p w:rsidR="00D722FF" w:rsidRPr="00560960" w:rsidRDefault="00D722FF" w:rsidP="003A0043">
      <w:pPr>
        <w:spacing w:before="100" w:beforeAutospacing="1" w:after="100" w:afterAutospacing="1" w:line="360" w:lineRule="auto"/>
        <w:ind w:left="567" w:hanging="567"/>
        <w:jc w:val="both"/>
        <w:rPr>
          <w:rFonts w:cs="Times New Roman"/>
          <w:szCs w:val="24"/>
        </w:rPr>
      </w:pPr>
      <w:r w:rsidRPr="00560960">
        <w:rPr>
          <w:rFonts w:cs="Times New Roman"/>
          <w:szCs w:val="24"/>
        </w:rPr>
        <w:t xml:space="preserve">Gomera, A., </w:t>
      </w:r>
      <w:proofErr w:type="spellStart"/>
      <w:r w:rsidRPr="00560960">
        <w:rPr>
          <w:rFonts w:cs="Times New Roman"/>
          <w:szCs w:val="24"/>
        </w:rPr>
        <w:t>Villamandos</w:t>
      </w:r>
      <w:proofErr w:type="spellEnd"/>
      <w:r w:rsidRPr="00560960">
        <w:rPr>
          <w:rFonts w:cs="Times New Roman"/>
          <w:szCs w:val="24"/>
        </w:rPr>
        <w:t xml:space="preserve">, F. y Vaquero, M. (2013). Construcción de indicadores de creencias ambientales a partir de la escala NEP. </w:t>
      </w:r>
      <w:r w:rsidRPr="00560960">
        <w:rPr>
          <w:rFonts w:cs="Times New Roman"/>
          <w:i/>
          <w:szCs w:val="24"/>
        </w:rPr>
        <w:t xml:space="preserve">Acción Psicológica, 10 (1), </w:t>
      </w:r>
      <w:r w:rsidRPr="00560960">
        <w:rPr>
          <w:rFonts w:cs="Times New Roman"/>
          <w:szCs w:val="24"/>
        </w:rPr>
        <w:t>149-160 [doi.org/10.5944/ap.10.1.7041]</w:t>
      </w:r>
    </w:p>
    <w:p w:rsidR="00D722FF" w:rsidRPr="00560960" w:rsidRDefault="00D722FF" w:rsidP="003A0043">
      <w:pPr>
        <w:spacing w:before="100" w:beforeAutospacing="1" w:after="100" w:afterAutospacing="1" w:line="360" w:lineRule="auto"/>
        <w:ind w:left="567" w:hanging="567"/>
        <w:jc w:val="both"/>
        <w:rPr>
          <w:rFonts w:cs="Times New Roman"/>
          <w:szCs w:val="24"/>
        </w:rPr>
      </w:pPr>
      <w:proofErr w:type="spellStart"/>
      <w:r w:rsidRPr="00560960">
        <w:rPr>
          <w:rFonts w:cs="Times New Roman"/>
          <w:szCs w:val="24"/>
        </w:rPr>
        <w:t>Gudynas</w:t>
      </w:r>
      <w:proofErr w:type="spellEnd"/>
      <w:r w:rsidRPr="00560960">
        <w:rPr>
          <w:rFonts w:cs="Times New Roman"/>
          <w:szCs w:val="24"/>
        </w:rPr>
        <w:t>, E</w:t>
      </w:r>
      <w:r>
        <w:rPr>
          <w:rFonts w:cs="Times New Roman"/>
          <w:szCs w:val="24"/>
        </w:rPr>
        <w:t>.</w:t>
      </w:r>
      <w:r w:rsidRPr="00560960">
        <w:rPr>
          <w:rFonts w:cs="Times New Roman"/>
          <w:szCs w:val="24"/>
        </w:rPr>
        <w:t xml:space="preserve"> (2010). La senda </w:t>
      </w:r>
      <w:proofErr w:type="spellStart"/>
      <w:r w:rsidRPr="00560960">
        <w:rPr>
          <w:rFonts w:cs="Times New Roman"/>
          <w:szCs w:val="24"/>
        </w:rPr>
        <w:t>biocéntrica</w:t>
      </w:r>
      <w:proofErr w:type="spellEnd"/>
      <w:r w:rsidRPr="00560960">
        <w:rPr>
          <w:rFonts w:cs="Times New Roman"/>
          <w:szCs w:val="24"/>
        </w:rPr>
        <w:t xml:space="preserve">: valores intrínsecos derechos de la naturaleza y justicia ecológica. </w:t>
      </w:r>
      <w:r w:rsidRPr="00560960">
        <w:rPr>
          <w:rFonts w:cs="Times New Roman"/>
          <w:i/>
          <w:szCs w:val="24"/>
        </w:rPr>
        <w:t xml:space="preserve">Tabula Rasa, 13, </w:t>
      </w:r>
      <w:r w:rsidRPr="00560960">
        <w:rPr>
          <w:rFonts w:cs="Times New Roman"/>
          <w:szCs w:val="24"/>
        </w:rPr>
        <w:t>45-71</w:t>
      </w:r>
    </w:p>
    <w:p w:rsidR="00D722FF" w:rsidRPr="00560960" w:rsidRDefault="00D722FF" w:rsidP="003A0043">
      <w:pPr>
        <w:spacing w:before="100" w:beforeAutospacing="1" w:after="100" w:afterAutospacing="1" w:line="360" w:lineRule="auto"/>
        <w:ind w:left="567" w:hanging="567"/>
        <w:jc w:val="both"/>
        <w:rPr>
          <w:rFonts w:cs="Times New Roman"/>
          <w:szCs w:val="24"/>
        </w:rPr>
      </w:pPr>
      <w:r>
        <w:rPr>
          <w:rFonts w:cs="Times New Roman"/>
          <w:szCs w:val="24"/>
        </w:rPr>
        <w:t>Pérez, D</w:t>
      </w:r>
      <w:r w:rsidRPr="00560960">
        <w:rPr>
          <w:rFonts w:cs="Times New Roman"/>
          <w:szCs w:val="24"/>
        </w:rPr>
        <w:t xml:space="preserve">. y Soler, M. (2013). </w:t>
      </w:r>
      <w:proofErr w:type="spellStart"/>
      <w:r w:rsidRPr="00560960">
        <w:rPr>
          <w:rFonts w:cs="Times New Roman"/>
          <w:szCs w:val="24"/>
        </w:rPr>
        <w:t>Agroeconomía</w:t>
      </w:r>
      <w:proofErr w:type="spellEnd"/>
      <w:r w:rsidRPr="00560960">
        <w:rPr>
          <w:rFonts w:cs="Times New Roman"/>
          <w:szCs w:val="24"/>
        </w:rPr>
        <w:t xml:space="preserve"> y </w:t>
      </w:r>
      <w:proofErr w:type="spellStart"/>
      <w:r w:rsidRPr="00560960">
        <w:rPr>
          <w:rFonts w:cs="Times New Roman"/>
          <w:szCs w:val="24"/>
        </w:rPr>
        <w:t>ecofeminismo</w:t>
      </w:r>
      <w:proofErr w:type="spellEnd"/>
      <w:r w:rsidRPr="00560960">
        <w:rPr>
          <w:rFonts w:cs="Times New Roman"/>
          <w:szCs w:val="24"/>
        </w:rPr>
        <w:t xml:space="preserve"> para descolonizar y </w:t>
      </w:r>
      <w:proofErr w:type="spellStart"/>
      <w:r w:rsidRPr="00560960">
        <w:rPr>
          <w:rFonts w:cs="Times New Roman"/>
          <w:szCs w:val="24"/>
        </w:rPr>
        <w:t>despatriarcalizar</w:t>
      </w:r>
      <w:proofErr w:type="spellEnd"/>
      <w:r w:rsidRPr="00560960">
        <w:rPr>
          <w:rFonts w:cs="Times New Roman"/>
          <w:szCs w:val="24"/>
        </w:rPr>
        <w:t xml:space="preserve"> la alimentación globalizada. </w:t>
      </w:r>
      <w:r w:rsidRPr="00560960">
        <w:rPr>
          <w:rFonts w:cs="Times New Roman"/>
          <w:i/>
          <w:szCs w:val="24"/>
        </w:rPr>
        <w:t xml:space="preserve">Revista Internacional de Pensamiento Político, 8 (1), </w:t>
      </w:r>
      <w:r w:rsidRPr="00560960">
        <w:rPr>
          <w:rFonts w:cs="Times New Roman"/>
          <w:szCs w:val="24"/>
        </w:rPr>
        <w:t>93-103</w:t>
      </w:r>
    </w:p>
    <w:p w:rsidR="00D722FF" w:rsidRPr="00560960" w:rsidRDefault="00D722FF" w:rsidP="003A0043">
      <w:pPr>
        <w:spacing w:before="100" w:beforeAutospacing="1" w:after="100" w:afterAutospacing="1" w:line="360" w:lineRule="auto"/>
        <w:ind w:left="567" w:hanging="567"/>
        <w:jc w:val="both"/>
        <w:rPr>
          <w:rFonts w:cs="Times New Roman"/>
          <w:szCs w:val="24"/>
        </w:rPr>
      </w:pPr>
      <w:r w:rsidRPr="00560960">
        <w:rPr>
          <w:rFonts w:cs="Times New Roman"/>
          <w:szCs w:val="24"/>
        </w:rPr>
        <w:t xml:space="preserve">Soto, G. (2012). Desarrollo sustentable o ética ambiental. </w:t>
      </w:r>
      <w:r w:rsidRPr="00560960">
        <w:rPr>
          <w:rFonts w:cs="Times New Roman"/>
          <w:i/>
          <w:szCs w:val="24"/>
        </w:rPr>
        <w:t xml:space="preserve">Artículos y Ensayos de Sociología Rural, 7 (13), </w:t>
      </w:r>
      <w:r w:rsidRPr="00560960">
        <w:rPr>
          <w:rFonts w:cs="Times New Roman"/>
          <w:szCs w:val="24"/>
        </w:rPr>
        <w:t>7-19</w:t>
      </w:r>
    </w:p>
    <w:p w:rsidR="00153AB7" w:rsidRPr="00560960" w:rsidRDefault="00153AB7" w:rsidP="003A0043">
      <w:pPr>
        <w:spacing w:before="100" w:beforeAutospacing="1" w:after="100" w:afterAutospacing="1" w:line="360" w:lineRule="auto"/>
        <w:ind w:left="567" w:hanging="567"/>
        <w:jc w:val="center"/>
        <w:rPr>
          <w:rFonts w:cs="Times New Roman"/>
          <w:b/>
          <w:szCs w:val="24"/>
        </w:rPr>
        <w:sectPr w:rsidR="00153AB7" w:rsidRPr="00560960" w:rsidSect="003A0043">
          <w:type w:val="continuous"/>
          <w:pgSz w:w="12242" w:h="15842" w:code="119"/>
          <w:pgMar w:top="1417" w:right="1701" w:bottom="1417" w:left="1701" w:header="708" w:footer="708" w:gutter="0"/>
          <w:cols w:space="708"/>
          <w:docGrid w:linePitch="360"/>
        </w:sectPr>
      </w:pPr>
    </w:p>
    <w:p w:rsidR="00857E9D" w:rsidRPr="00560960" w:rsidRDefault="00B40051" w:rsidP="00B40051">
      <w:pPr>
        <w:spacing w:before="100" w:beforeAutospacing="1" w:after="100" w:afterAutospacing="1" w:line="360" w:lineRule="auto"/>
        <w:ind w:left="567" w:hanging="567"/>
        <w:rPr>
          <w:rFonts w:cs="Times New Roman"/>
          <w:szCs w:val="24"/>
        </w:rPr>
      </w:pPr>
      <w:r w:rsidRPr="00B40051">
        <w:rPr>
          <w:rFonts w:cs="Times New Roman"/>
          <w:b/>
          <w:szCs w:val="24"/>
        </w:rPr>
        <w:lastRenderedPageBreak/>
        <w:t>Anexo</w:t>
      </w:r>
      <w:r>
        <w:rPr>
          <w:rFonts w:cs="Times New Roman"/>
          <w:szCs w:val="24"/>
        </w:rPr>
        <w:t xml:space="preserve"> </w:t>
      </w:r>
      <w:r w:rsidR="00857E9D" w:rsidRPr="00560960">
        <w:rPr>
          <w:rFonts w:cs="Times New Roman"/>
          <w:szCs w:val="24"/>
        </w:rPr>
        <w:t xml:space="preserve"> </w:t>
      </w:r>
    </w:p>
    <w:p w:rsidR="0032191B" w:rsidRPr="00560960" w:rsidRDefault="0032191B" w:rsidP="003A0043">
      <w:pPr>
        <w:spacing w:before="100" w:beforeAutospacing="1" w:after="100" w:afterAutospacing="1" w:line="360" w:lineRule="auto"/>
        <w:ind w:left="567" w:hanging="567"/>
        <w:jc w:val="both"/>
        <w:rPr>
          <w:rFonts w:cs="Times New Roman"/>
          <w:szCs w:val="24"/>
        </w:rPr>
      </w:pPr>
      <w:r w:rsidRPr="00560960">
        <w:rPr>
          <w:rFonts w:cs="Times New Roman"/>
          <w:szCs w:val="24"/>
        </w:rPr>
        <w:t>Tabla</w:t>
      </w:r>
      <w:r w:rsidR="00B40051">
        <w:rPr>
          <w:rFonts w:cs="Times New Roman"/>
          <w:szCs w:val="24"/>
        </w:rPr>
        <w:t xml:space="preserve"> 2</w:t>
      </w:r>
      <w:r w:rsidRPr="00560960">
        <w:rPr>
          <w:rFonts w:cs="Times New Roman"/>
          <w:szCs w:val="24"/>
        </w:rPr>
        <w:t xml:space="preserve">. Marcos teóricos del Desarrollo Humano Sustentable </w:t>
      </w:r>
    </w:p>
    <w:tbl>
      <w:tblPr>
        <w:tblStyle w:val="Tablanormal5"/>
        <w:tblW w:w="0" w:type="auto"/>
        <w:tblLook w:val="04A0" w:firstRow="1" w:lastRow="0" w:firstColumn="1" w:lastColumn="0" w:noHBand="0" w:noVBand="1"/>
      </w:tblPr>
      <w:tblGrid>
        <w:gridCol w:w="2093"/>
        <w:gridCol w:w="2660"/>
        <w:gridCol w:w="4303"/>
      </w:tblGrid>
      <w:tr w:rsidR="0032191B" w:rsidRPr="00B40051" w:rsidTr="003219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Teoría / Modelo / Actores</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0051">
              <w:rPr>
                <w:rFonts w:ascii="Times New Roman" w:hAnsi="Times New Roman" w:cs="Times New Roman"/>
                <w:sz w:val="16"/>
                <w:szCs w:val="16"/>
              </w:rPr>
              <w:t>Indicadores / Instrumentos</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0051">
              <w:rPr>
                <w:rFonts w:ascii="Times New Roman" w:hAnsi="Times New Roman" w:cs="Times New Roman"/>
                <w:sz w:val="16"/>
                <w:szCs w:val="16"/>
              </w:rPr>
              <w:t>Premisas</w:t>
            </w:r>
          </w:p>
        </w:tc>
      </w:tr>
      <w:tr w:rsidR="0032191B" w:rsidRPr="00B40051" w:rsidTr="0032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Teoría de Sistemas del Desarrollo Humano</w:t>
            </w:r>
          </w:p>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Centralidad </w:t>
            </w:r>
            <w:r w:rsidRPr="00B40051">
              <w:rPr>
                <w:rFonts w:ascii="Times New Roman" w:hAnsi="Times New Roman" w:cs="Times New Roman"/>
                <w:sz w:val="16"/>
                <w:szCs w:val="16"/>
              </w:rPr>
              <w:sym w:font="Wingdings" w:char="F0E8"/>
            </w:r>
            <w:r w:rsidRPr="00B40051">
              <w:rPr>
                <w:rFonts w:ascii="Times New Roman" w:hAnsi="Times New Roman" w:cs="Times New Roman"/>
                <w:sz w:val="16"/>
                <w:szCs w:val="16"/>
              </w:rPr>
              <w:t xml:space="preserve"> Periferia</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Realidad infinita, Lógica de la ganancia, jornada laboral, </w:t>
            </w:r>
            <w:proofErr w:type="spellStart"/>
            <w:r w:rsidRPr="00B40051">
              <w:rPr>
                <w:rFonts w:cs="Times New Roman"/>
                <w:sz w:val="16"/>
                <w:szCs w:val="16"/>
              </w:rPr>
              <w:t>biopoder</w:t>
            </w:r>
            <w:proofErr w:type="spellEnd"/>
            <w:r w:rsidRPr="00B40051">
              <w:rPr>
                <w:rFonts w:cs="Times New Roman"/>
                <w:sz w:val="16"/>
                <w:szCs w:val="16"/>
              </w:rPr>
              <w:t>, exclusión sectorial</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El Desarrollo Humano se establece a partir del equilibrio de entradas y salidas de los flujos de capital que se concentran en la centralidad y se diseminan hacia la periferia, esencialmente en los sectores mediante instrumentos de </w:t>
            </w:r>
            <w:proofErr w:type="spellStart"/>
            <w:r w:rsidRPr="00B40051">
              <w:rPr>
                <w:rFonts w:cs="Times New Roman"/>
                <w:sz w:val="16"/>
                <w:szCs w:val="16"/>
              </w:rPr>
              <w:t>biopoder</w:t>
            </w:r>
            <w:proofErr w:type="spellEnd"/>
            <w:r w:rsidRPr="00B40051">
              <w:rPr>
                <w:rFonts w:cs="Times New Roman"/>
                <w:sz w:val="16"/>
                <w:szCs w:val="16"/>
              </w:rPr>
              <w:t>, generan exclusión según la lógica de la ganancia y la dinámica del mercado local en relación con lo global.</w:t>
            </w:r>
          </w:p>
        </w:tc>
      </w:tr>
      <w:tr w:rsidR="0032191B" w:rsidRPr="00B40051" w:rsidTr="0032191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Teoría de la Ética del Desarrollo Humano </w:t>
            </w:r>
          </w:p>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Individuo </w:t>
            </w:r>
            <w:r w:rsidRPr="00B40051">
              <w:rPr>
                <w:rFonts w:ascii="Times New Roman" w:hAnsi="Times New Roman" w:cs="Times New Roman"/>
                <w:sz w:val="16"/>
                <w:szCs w:val="16"/>
              </w:rPr>
              <w:sym w:font="Wingdings" w:char="F0E8"/>
            </w:r>
            <w:r w:rsidRPr="00B40051">
              <w:rPr>
                <w:rFonts w:ascii="Times New Roman" w:hAnsi="Times New Roman" w:cs="Times New Roman"/>
                <w:sz w:val="16"/>
                <w:szCs w:val="16"/>
              </w:rPr>
              <w:t xml:space="preserve"> Cultura </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 xml:space="preserve">Conciencia, medio ambiente, proximidad, influencia </w:t>
            </w:r>
            <w:proofErr w:type="spellStart"/>
            <w:r w:rsidRPr="00B40051">
              <w:rPr>
                <w:rFonts w:cs="Times New Roman"/>
                <w:sz w:val="16"/>
                <w:szCs w:val="16"/>
              </w:rPr>
              <w:t>socialo</w:t>
            </w:r>
            <w:proofErr w:type="spellEnd"/>
            <w:r w:rsidRPr="00B40051">
              <w:rPr>
                <w:rFonts w:cs="Times New Roman"/>
                <w:sz w:val="16"/>
                <w:szCs w:val="16"/>
              </w:rPr>
              <w:t xml:space="preserve">, comunicación de riesgos </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 xml:space="preserve">El Desarrollo Humano estriba en los medios y fines; locales, nacionales y globales de valor personal, historia colectiva, libertad y dignidad humana </w:t>
            </w:r>
          </w:p>
        </w:tc>
      </w:tr>
      <w:tr w:rsidR="0032191B" w:rsidRPr="00B40051" w:rsidTr="0032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Teoría del Institucionalismo y </w:t>
            </w:r>
            <w:proofErr w:type="spellStart"/>
            <w:r w:rsidRPr="00B40051">
              <w:rPr>
                <w:rFonts w:ascii="Times New Roman" w:hAnsi="Times New Roman" w:cs="Times New Roman"/>
                <w:sz w:val="16"/>
                <w:szCs w:val="16"/>
              </w:rPr>
              <w:t>Neoinstitucionalismo</w:t>
            </w:r>
            <w:proofErr w:type="spellEnd"/>
            <w:r w:rsidRPr="00B40051">
              <w:rPr>
                <w:rFonts w:ascii="Times New Roman" w:hAnsi="Times New Roman" w:cs="Times New Roman"/>
                <w:sz w:val="16"/>
                <w:szCs w:val="16"/>
              </w:rPr>
              <w:t xml:space="preserve"> del Desarrollo Humano </w:t>
            </w:r>
          </w:p>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Instituciones </w:t>
            </w:r>
            <w:r w:rsidRPr="00B40051">
              <w:rPr>
                <w:rFonts w:ascii="Times New Roman" w:hAnsi="Times New Roman" w:cs="Times New Roman"/>
                <w:sz w:val="16"/>
                <w:szCs w:val="16"/>
              </w:rPr>
              <w:sym w:font="Wingdings" w:char="F0E8"/>
            </w:r>
            <w:r w:rsidRPr="00B40051">
              <w:rPr>
                <w:rFonts w:ascii="Times New Roman" w:hAnsi="Times New Roman" w:cs="Times New Roman"/>
                <w:sz w:val="16"/>
                <w:szCs w:val="16"/>
              </w:rPr>
              <w:t xml:space="preserve"> Individuo </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Campo institucional, isomorfismo, cooperación, racionalidad, legitimidad, normatividad, </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El Desarrollo Humano está centrado en la reproducción de burocracias, diseminado en los individuos a partir de la rectoría del Estado y la legitimidad de las políticas públicas; generación de liderazgos sectoriales, campos de acción, isomorfismo, oportunismo y toma de decisiones verticales. </w:t>
            </w:r>
          </w:p>
        </w:tc>
      </w:tr>
      <w:tr w:rsidR="0032191B" w:rsidRPr="00B40051" w:rsidTr="0032191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Teoría de la Rectoría del Estado y la Seguridad para </w:t>
            </w:r>
            <w:r w:rsidRPr="00B40051">
              <w:rPr>
                <w:rFonts w:ascii="Times New Roman" w:hAnsi="Times New Roman" w:cs="Times New Roman"/>
                <w:sz w:val="16"/>
                <w:szCs w:val="16"/>
              </w:rPr>
              <w:lastRenderedPageBreak/>
              <w:t xml:space="preserve">el Desarrollo Humano </w:t>
            </w:r>
          </w:p>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Rectoría </w:t>
            </w:r>
            <w:r w:rsidRPr="00B40051">
              <w:rPr>
                <w:rFonts w:ascii="Times New Roman" w:hAnsi="Times New Roman" w:cs="Times New Roman"/>
                <w:sz w:val="16"/>
                <w:szCs w:val="16"/>
              </w:rPr>
              <w:sym w:font="Wingdings" w:char="F0E8"/>
            </w:r>
            <w:r w:rsidRPr="00B40051">
              <w:rPr>
                <w:rFonts w:ascii="Times New Roman" w:hAnsi="Times New Roman" w:cs="Times New Roman"/>
                <w:sz w:val="16"/>
                <w:szCs w:val="16"/>
              </w:rPr>
              <w:t xml:space="preserve"> Ciudadanía </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lastRenderedPageBreak/>
              <w:t xml:space="preserve">Arte de gobernar, control social, prevención del delito, procuración e </w:t>
            </w:r>
            <w:r w:rsidRPr="00B40051">
              <w:rPr>
                <w:rFonts w:cs="Times New Roman"/>
                <w:sz w:val="16"/>
                <w:szCs w:val="16"/>
              </w:rPr>
              <w:lastRenderedPageBreak/>
              <w:t xml:space="preserve">impartición de justicia </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lastRenderedPageBreak/>
              <w:t xml:space="preserve">El Desarrollo Humano es una consecuencia de la relación entre Estado y Ciudadanía con respecto a la seguridad percibida, </w:t>
            </w:r>
            <w:r w:rsidRPr="00B40051">
              <w:rPr>
                <w:rFonts w:cs="Times New Roman"/>
                <w:sz w:val="16"/>
                <w:szCs w:val="16"/>
              </w:rPr>
              <w:lastRenderedPageBreak/>
              <w:t>procuración del delito e impartición de justicia</w:t>
            </w:r>
          </w:p>
        </w:tc>
      </w:tr>
      <w:tr w:rsidR="0032191B" w:rsidRPr="00B40051" w:rsidTr="0032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lastRenderedPageBreak/>
              <w:t xml:space="preserve">Teoría de las Redes del Desarrollo Humano </w:t>
            </w:r>
          </w:p>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Nodo central </w:t>
            </w:r>
            <w:r w:rsidRPr="00B40051">
              <w:rPr>
                <w:rFonts w:ascii="Times New Roman" w:hAnsi="Times New Roman" w:cs="Times New Roman"/>
                <w:sz w:val="16"/>
                <w:szCs w:val="16"/>
              </w:rPr>
              <w:sym w:font="Wingdings" w:char="F0E8"/>
            </w:r>
            <w:r w:rsidRPr="00B40051">
              <w:rPr>
                <w:rFonts w:ascii="Times New Roman" w:hAnsi="Times New Roman" w:cs="Times New Roman"/>
                <w:sz w:val="16"/>
                <w:szCs w:val="16"/>
              </w:rPr>
              <w:t xml:space="preserve"> nodos periféricos</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Gestión de redes, relaciones de poder, informalidad, flexibilidad, multilateralidad, pluralidad, actores y demandas acumulativas</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El Desarrollo Humano consiste en la interrelación de actores, aunque a menudo las decisiones y acciones son más informales y flexibles en los nodos periféricos con respecto a la multilateralidad y </w:t>
            </w:r>
            <w:proofErr w:type="spellStart"/>
            <w:r w:rsidRPr="00B40051">
              <w:rPr>
                <w:rFonts w:cs="Times New Roman"/>
                <w:sz w:val="16"/>
                <w:szCs w:val="16"/>
              </w:rPr>
              <w:t>acumulatividad</w:t>
            </w:r>
            <w:proofErr w:type="spellEnd"/>
            <w:r w:rsidRPr="00B40051">
              <w:rPr>
                <w:rFonts w:cs="Times New Roman"/>
                <w:sz w:val="16"/>
                <w:szCs w:val="16"/>
              </w:rPr>
              <w:t xml:space="preserve"> del nodo central</w:t>
            </w:r>
          </w:p>
        </w:tc>
      </w:tr>
      <w:tr w:rsidR="0032191B" w:rsidRPr="00B40051" w:rsidTr="0032191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Teoría de la Gobernanza del Desarrollo Humano </w:t>
            </w:r>
          </w:p>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Sectores y esferas </w:t>
            </w:r>
            <w:r w:rsidRPr="00B40051">
              <w:rPr>
                <w:rFonts w:ascii="Times New Roman" w:hAnsi="Times New Roman" w:cs="Times New Roman"/>
                <w:sz w:val="16"/>
                <w:szCs w:val="16"/>
              </w:rPr>
              <w:sym w:font="Wingdings" w:char="F0E8"/>
            </w:r>
            <w:r w:rsidRPr="00B40051">
              <w:rPr>
                <w:rFonts w:ascii="Times New Roman" w:hAnsi="Times New Roman" w:cs="Times New Roman"/>
                <w:sz w:val="16"/>
                <w:szCs w:val="16"/>
              </w:rPr>
              <w:t xml:space="preserve"> Ciudadanía y Gobernantes</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 xml:space="preserve">Bienes, derechos y reglas de propiedad micro-institucionales </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 xml:space="preserve">El Desarrollo Humano es un indicador de un gobierno de bienes comu8nes con derechos y reglas de propiedad micro-institucional </w:t>
            </w:r>
          </w:p>
        </w:tc>
      </w:tr>
      <w:tr w:rsidR="0032191B" w:rsidRPr="00B40051" w:rsidTr="0032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Teoría del Desarrollo Comunitario </w:t>
            </w:r>
          </w:p>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Comunidad </w:t>
            </w:r>
            <w:r w:rsidRPr="00B40051">
              <w:rPr>
                <w:rFonts w:ascii="Times New Roman" w:hAnsi="Times New Roman" w:cs="Times New Roman"/>
                <w:sz w:val="16"/>
                <w:szCs w:val="16"/>
              </w:rPr>
              <w:sym w:font="Wingdings" w:char="F0E7"/>
            </w:r>
            <w:r w:rsidRPr="00B40051">
              <w:rPr>
                <w:rFonts w:ascii="Times New Roman" w:hAnsi="Times New Roman" w:cs="Times New Roman"/>
                <w:sz w:val="16"/>
                <w:szCs w:val="16"/>
              </w:rPr>
              <w:sym w:font="Wingdings" w:char="F0E8"/>
            </w:r>
            <w:r w:rsidRPr="00B40051">
              <w:rPr>
                <w:rFonts w:ascii="Times New Roman" w:hAnsi="Times New Roman" w:cs="Times New Roman"/>
                <w:sz w:val="16"/>
                <w:szCs w:val="16"/>
              </w:rPr>
              <w:t xml:space="preserve"> Ciudad</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Representaciones, objetivación, anclaje, naturalización, intersubjetividad, necesidades, construcción, altruismo</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El Desarrollo Humano es un escenario de símbolos, significados y discursos compartidos de una comunidad con respecto a su entorno y la disponibilidad de los recursos. </w:t>
            </w:r>
          </w:p>
        </w:tc>
      </w:tr>
      <w:tr w:rsidR="0032191B" w:rsidRPr="00B40051" w:rsidTr="0032191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Teoría de la Reproducción del Desarrollo Humano</w:t>
            </w:r>
          </w:p>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Dominantes </w:t>
            </w:r>
            <w:r w:rsidRPr="00B40051">
              <w:rPr>
                <w:rFonts w:ascii="Times New Roman" w:hAnsi="Times New Roman" w:cs="Times New Roman"/>
                <w:sz w:val="16"/>
                <w:szCs w:val="16"/>
              </w:rPr>
              <w:sym w:font="Wingdings" w:char="F0E8"/>
            </w:r>
            <w:r w:rsidRPr="00B40051">
              <w:rPr>
                <w:rFonts w:ascii="Times New Roman" w:hAnsi="Times New Roman" w:cs="Times New Roman"/>
                <w:sz w:val="16"/>
                <w:szCs w:val="16"/>
              </w:rPr>
              <w:t xml:space="preserve"> Dominados </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roofErr w:type="spellStart"/>
            <w:r w:rsidRPr="00B40051">
              <w:rPr>
                <w:rFonts w:cs="Times New Roman"/>
                <w:sz w:val="16"/>
                <w:szCs w:val="16"/>
              </w:rPr>
              <w:t>Habitus</w:t>
            </w:r>
            <w:proofErr w:type="spellEnd"/>
            <w:r w:rsidRPr="00B40051">
              <w:rPr>
                <w:rFonts w:cs="Times New Roman"/>
                <w:sz w:val="16"/>
                <w:szCs w:val="16"/>
              </w:rPr>
              <w:t xml:space="preserve">, capitales, campos, </w:t>
            </w:r>
            <w:proofErr w:type="spellStart"/>
            <w:r w:rsidRPr="00B40051">
              <w:rPr>
                <w:rFonts w:cs="Times New Roman"/>
                <w:sz w:val="16"/>
                <w:szCs w:val="16"/>
              </w:rPr>
              <w:t>ethos</w:t>
            </w:r>
            <w:proofErr w:type="spellEnd"/>
            <w:r w:rsidRPr="00B40051">
              <w:rPr>
                <w:rFonts w:cs="Times New Roman"/>
                <w:sz w:val="16"/>
                <w:szCs w:val="16"/>
              </w:rPr>
              <w:t xml:space="preserve">, </w:t>
            </w:r>
            <w:proofErr w:type="spellStart"/>
            <w:r w:rsidRPr="00B40051">
              <w:rPr>
                <w:rFonts w:cs="Times New Roman"/>
                <w:sz w:val="16"/>
                <w:szCs w:val="16"/>
              </w:rPr>
              <w:t>eidos</w:t>
            </w:r>
            <w:proofErr w:type="spellEnd"/>
            <w:r w:rsidRPr="00B40051">
              <w:rPr>
                <w:rFonts w:cs="Times New Roman"/>
                <w:sz w:val="16"/>
                <w:szCs w:val="16"/>
              </w:rPr>
              <w:t xml:space="preserve">, </w:t>
            </w:r>
            <w:proofErr w:type="spellStart"/>
            <w:r w:rsidRPr="00B40051">
              <w:rPr>
                <w:rFonts w:cs="Times New Roman"/>
                <w:sz w:val="16"/>
                <w:szCs w:val="16"/>
              </w:rPr>
              <w:t>hexis</w:t>
            </w:r>
            <w:proofErr w:type="spellEnd"/>
            <w:r w:rsidRPr="00B40051">
              <w:rPr>
                <w:rFonts w:cs="Times New Roman"/>
                <w:sz w:val="16"/>
                <w:szCs w:val="16"/>
              </w:rPr>
              <w:t xml:space="preserve">, </w:t>
            </w:r>
            <w:proofErr w:type="spellStart"/>
            <w:r w:rsidRPr="00B40051">
              <w:rPr>
                <w:rFonts w:cs="Times New Roman"/>
                <w:sz w:val="16"/>
                <w:szCs w:val="16"/>
              </w:rPr>
              <w:t>aisthesis</w:t>
            </w:r>
            <w:proofErr w:type="spellEnd"/>
            <w:r w:rsidRPr="00B40051">
              <w:rPr>
                <w:rFonts w:cs="Times New Roman"/>
                <w:sz w:val="16"/>
                <w:szCs w:val="16"/>
              </w:rPr>
              <w:t xml:space="preserve">, identidad, </w:t>
            </w:r>
            <w:proofErr w:type="spellStart"/>
            <w:r w:rsidRPr="00B40051">
              <w:rPr>
                <w:rFonts w:cs="Times New Roman"/>
                <w:sz w:val="16"/>
                <w:szCs w:val="16"/>
              </w:rPr>
              <w:t>ipsidad</w:t>
            </w:r>
            <w:proofErr w:type="spellEnd"/>
            <w:r w:rsidRPr="00B40051">
              <w:rPr>
                <w:rFonts w:cs="Times New Roman"/>
                <w:sz w:val="16"/>
                <w:szCs w:val="16"/>
              </w:rPr>
              <w:t>, mismidad</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 xml:space="preserve">El Desarrollo Humano es un instrumento de la dominación social de los gobernantes con respecto a los gobernados. tal proceso se disemina en </w:t>
            </w:r>
            <w:proofErr w:type="spellStart"/>
            <w:r w:rsidRPr="00B40051">
              <w:rPr>
                <w:rFonts w:cs="Times New Roman"/>
                <w:sz w:val="16"/>
                <w:szCs w:val="16"/>
              </w:rPr>
              <w:t>habitus</w:t>
            </w:r>
            <w:proofErr w:type="spellEnd"/>
            <w:r w:rsidRPr="00B40051">
              <w:rPr>
                <w:rFonts w:cs="Times New Roman"/>
                <w:sz w:val="16"/>
                <w:szCs w:val="16"/>
              </w:rPr>
              <w:t xml:space="preserve"> –</w:t>
            </w:r>
            <w:proofErr w:type="spellStart"/>
            <w:r w:rsidRPr="00B40051">
              <w:rPr>
                <w:rFonts w:cs="Times New Roman"/>
                <w:sz w:val="16"/>
                <w:szCs w:val="16"/>
              </w:rPr>
              <w:t>ethos</w:t>
            </w:r>
            <w:proofErr w:type="spellEnd"/>
            <w:r w:rsidRPr="00B40051">
              <w:rPr>
                <w:rFonts w:cs="Times New Roman"/>
                <w:sz w:val="16"/>
                <w:szCs w:val="16"/>
              </w:rPr>
              <w:t xml:space="preserve">, </w:t>
            </w:r>
            <w:proofErr w:type="spellStart"/>
            <w:r w:rsidRPr="00B40051">
              <w:rPr>
                <w:rFonts w:cs="Times New Roman"/>
                <w:sz w:val="16"/>
                <w:szCs w:val="16"/>
              </w:rPr>
              <w:t>eidos</w:t>
            </w:r>
            <w:proofErr w:type="spellEnd"/>
            <w:r w:rsidRPr="00B40051">
              <w:rPr>
                <w:rFonts w:cs="Times New Roman"/>
                <w:sz w:val="16"/>
                <w:szCs w:val="16"/>
              </w:rPr>
              <w:t xml:space="preserve">, </w:t>
            </w:r>
            <w:proofErr w:type="spellStart"/>
            <w:r w:rsidRPr="00B40051">
              <w:rPr>
                <w:rFonts w:cs="Times New Roman"/>
                <w:sz w:val="16"/>
                <w:szCs w:val="16"/>
              </w:rPr>
              <w:t>hexis</w:t>
            </w:r>
            <w:proofErr w:type="spellEnd"/>
            <w:r w:rsidRPr="00B40051">
              <w:rPr>
                <w:rFonts w:cs="Times New Roman"/>
                <w:sz w:val="16"/>
                <w:szCs w:val="16"/>
              </w:rPr>
              <w:t xml:space="preserve">, </w:t>
            </w:r>
            <w:proofErr w:type="spellStart"/>
            <w:r w:rsidRPr="00B40051">
              <w:rPr>
                <w:rFonts w:cs="Times New Roman"/>
                <w:sz w:val="16"/>
                <w:szCs w:val="16"/>
              </w:rPr>
              <w:t>aisthesis</w:t>
            </w:r>
            <w:proofErr w:type="spellEnd"/>
            <w:r w:rsidRPr="00B40051">
              <w:rPr>
                <w:rFonts w:cs="Times New Roman"/>
                <w:sz w:val="16"/>
                <w:szCs w:val="16"/>
              </w:rPr>
              <w:t xml:space="preserve">–, capitales y campos </w:t>
            </w:r>
          </w:p>
        </w:tc>
      </w:tr>
      <w:tr w:rsidR="0032191B" w:rsidRPr="00B40051" w:rsidTr="0032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Teoría de los Flujos Migratorios del Desarrollo Humano</w:t>
            </w:r>
          </w:p>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Políticas públicas </w:t>
            </w:r>
            <w:r w:rsidRPr="00B40051">
              <w:rPr>
                <w:rFonts w:ascii="Times New Roman" w:hAnsi="Times New Roman" w:cs="Times New Roman"/>
                <w:sz w:val="16"/>
                <w:szCs w:val="16"/>
              </w:rPr>
              <w:sym w:font="Wingdings" w:char="F0E8"/>
            </w:r>
            <w:r w:rsidRPr="00B40051">
              <w:rPr>
                <w:rFonts w:ascii="Times New Roman" w:hAnsi="Times New Roman" w:cs="Times New Roman"/>
                <w:sz w:val="16"/>
                <w:szCs w:val="16"/>
              </w:rPr>
              <w:t xml:space="preserve"> migrantes </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roofErr w:type="spellStart"/>
            <w:r w:rsidRPr="00B40051">
              <w:rPr>
                <w:rFonts w:cs="Times New Roman"/>
                <w:sz w:val="16"/>
                <w:szCs w:val="16"/>
              </w:rPr>
              <w:t>Reisersión</w:t>
            </w:r>
            <w:proofErr w:type="spellEnd"/>
            <w:r w:rsidRPr="00B40051">
              <w:rPr>
                <w:rFonts w:cs="Times New Roman"/>
                <w:sz w:val="16"/>
                <w:szCs w:val="16"/>
              </w:rPr>
              <w:t xml:space="preserve">, travesía, estancia, retorno, selección, asimilación, identidad, adaptación, redes, demandas, </w:t>
            </w:r>
            <w:proofErr w:type="spellStart"/>
            <w:r w:rsidRPr="00B40051">
              <w:rPr>
                <w:rFonts w:cs="Times New Roman"/>
                <w:sz w:val="16"/>
                <w:szCs w:val="16"/>
              </w:rPr>
              <w:t>interculturalismo</w:t>
            </w:r>
            <w:proofErr w:type="spellEnd"/>
            <w:r w:rsidRPr="00B40051">
              <w:rPr>
                <w:rFonts w:cs="Times New Roman"/>
                <w:sz w:val="16"/>
                <w:szCs w:val="16"/>
              </w:rPr>
              <w:t>, multiculturalismo, etnocentrismo</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El Desarrollo Humano es un ideal, factible mediante políticas públicas </w:t>
            </w:r>
            <w:proofErr w:type="spellStart"/>
            <w:r w:rsidRPr="00B40051">
              <w:rPr>
                <w:rFonts w:cs="Times New Roman"/>
                <w:sz w:val="16"/>
                <w:szCs w:val="16"/>
              </w:rPr>
              <w:t>multi</w:t>
            </w:r>
            <w:proofErr w:type="spellEnd"/>
            <w:r w:rsidRPr="00B40051">
              <w:rPr>
                <w:rFonts w:cs="Times New Roman"/>
                <w:sz w:val="16"/>
                <w:szCs w:val="16"/>
              </w:rPr>
              <w:t xml:space="preserve"> e inter culturales en los procesos de asimilación, selectividad e identidad de comunidades migrantes en travesía, estancia y retorno con re4specto a grupos oriundos.</w:t>
            </w:r>
          </w:p>
        </w:tc>
      </w:tr>
      <w:tr w:rsidR="0032191B" w:rsidRPr="00B40051" w:rsidTr="0032191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Teoría de la Calidad de Vida del Desarrollo Humano</w:t>
            </w:r>
          </w:p>
          <w:p w:rsidR="0032191B" w:rsidRPr="00B40051" w:rsidRDefault="0032191B"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 xml:space="preserve">Programas sociales y servicios públicos </w:t>
            </w:r>
            <w:r w:rsidRPr="00B40051">
              <w:rPr>
                <w:rFonts w:ascii="Times New Roman" w:hAnsi="Times New Roman" w:cs="Times New Roman"/>
                <w:sz w:val="16"/>
                <w:szCs w:val="16"/>
              </w:rPr>
              <w:sym w:font="Wingdings" w:char="F0E8"/>
            </w:r>
            <w:r w:rsidRPr="00B40051">
              <w:rPr>
                <w:rFonts w:ascii="Times New Roman" w:hAnsi="Times New Roman" w:cs="Times New Roman"/>
                <w:sz w:val="16"/>
                <w:szCs w:val="16"/>
              </w:rPr>
              <w:t xml:space="preserve"> usuarios</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Calidad de los procesos y productos, bienestar subjetivo, compromiso y satisfacción</w:t>
            </w:r>
          </w:p>
        </w:tc>
        <w:tc>
          <w:tcPr>
            <w:tcW w:w="0" w:type="auto"/>
            <w:shd w:val="clear" w:color="auto" w:fill="auto"/>
            <w:hideMark/>
          </w:tcPr>
          <w:p w:rsidR="0032191B" w:rsidRPr="00B40051" w:rsidRDefault="0032191B"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 xml:space="preserve">El Desarrollo Humano está indicado por los recursos objetivos y subjetivos, reflejados en el compromiso y la satisfacción de los gobernados para con las políticas públicas. </w:t>
            </w:r>
          </w:p>
        </w:tc>
      </w:tr>
    </w:tbl>
    <w:p w:rsidR="0032191B" w:rsidRPr="00560960" w:rsidRDefault="0032191B" w:rsidP="003A0043">
      <w:pPr>
        <w:spacing w:before="100" w:beforeAutospacing="1" w:after="100" w:afterAutospacing="1" w:line="360" w:lineRule="auto"/>
        <w:rPr>
          <w:rFonts w:cs="Times New Roman"/>
          <w:szCs w:val="24"/>
          <w:lang w:val="es-MX" w:eastAsia="en-US"/>
        </w:rPr>
      </w:pPr>
    </w:p>
    <w:p w:rsidR="0032191B" w:rsidRPr="00560960" w:rsidRDefault="0032191B" w:rsidP="003A0043">
      <w:pPr>
        <w:spacing w:before="100" w:beforeAutospacing="1" w:after="100" w:afterAutospacing="1" w:line="360" w:lineRule="auto"/>
        <w:ind w:left="567" w:hanging="567"/>
        <w:jc w:val="both"/>
        <w:rPr>
          <w:rFonts w:cs="Times New Roman"/>
          <w:szCs w:val="24"/>
          <w:lang w:val="es-MX"/>
        </w:rPr>
      </w:pPr>
      <w:r w:rsidRPr="00560960">
        <w:rPr>
          <w:rFonts w:cs="Times New Roman"/>
          <w:szCs w:val="24"/>
          <w:lang w:val="es-MX"/>
        </w:rPr>
        <w:t xml:space="preserve">Fuente: Elaborada con los hallazgos del estudio </w:t>
      </w:r>
    </w:p>
    <w:p w:rsidR="00153AB7" w:rsidRPr="00560960" w:rsidRDefault="00153AB7" w:rsidP="003A0043">
      <w:pPr>
        <w:spacing w:before="100" w:beforeAutospacing="1" w:after="100" w:afterAutospacing="1" w:line="360" w:lineRule="auto"/>
        <w:ind w:left="567" w:hanging="567"/>
        <w:jc w:val="both"/>
        <w:rPr>
          <w:rFonts w:cs="Times New Roman"/>
          <w:szCs w:val="24"/>
        </w:rPr>
      </w:pPr>
      <w:r w:rsidRPr="00560960">
        <w:rPr>
          <w:rFonts w:cs="Times New Roman"/>
          <w:szCs w:val="24"/>
        </w:rPr>
        <w:t>Tabla</w:t>
      </w:r>
      <w:r w:rsidR="00B40051">
        <w:rPr>
          <w:rFonts w:cs="Times New Roman"/>
          <w:szCs w:val="24"/>
        </w:rPr>
        <w:t xml:space="preserve"> 3</w:t>
      </w:r>
      <w:r w:rsidRPr="00560960">
        <w:rPr>
          <w:rFonts w:cs="Times New Roman"/>
          <w:szCs w:val="24"/>
        </w:rPr>
        <w:t>. Estado del conocimiento</w:t>
      </w:r>
    </w:p>
    <w:tbl>
      <w:tblPr>
        <w:tblStyle w:val="Tablanormal5"/>
        <w:tblW w:w="0" w:type="auto"/>
        <w:tblLook w:val="04A0" w:firstRow="1" w:lastRow="0" w:firstColumn="1" w:lastColumn="0" w:noHBand="0" w:noVBand="1"/>
      </w:tblPr>
      <w:tblGrid>
        <w:gridCol w:w="536"/>
        <w:gridCol w:w="1179"/>
        <w:gridCol w:w="3665"/>
        <w:gridCol w:w="1709"/>
        <w:gridCol w:w="1967"/>
      </w:tblGrid>
      <w:tr w:rsidR="00217536" w:rsidRPr="00B40051" w:rsidTr="003219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tcPr>
          <w:p w:rsidR="005B5776" w:rsidRPr="00B40051" w:rsidRDefault="005B5776"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Año</w:t>
            </w:r>
          </w:p>
        </w:tc>
        <w:tc>
          <w:tcPr>
            <w:tcW w:w="0" w:type="auto"/>
            <w:shd w:val="clear" w:color="auto" w:fill="auto"/>
          </w:tcPr>
          <w:p w:rsidR="005B5776" w:rsidRPr="00B40051" w:rsidRDefault="005B5776" w:rsidP="003A0043">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0051">
              <w:rPr>
                <w:rFonts w:ascii="Times New Roman" w:hAnsi="Times New Roman" w:cs="Times New Roman"/>
                <w:sz w:val="16"/>
                <w:szCs w:val="16"/>
              </w:rPr>
              <w:t>Autor</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0051">
              <w:rPr>
                <w:rFonts w:ascii="Times New Roman" w:hAnsi="Times New Roman" w:cs="Times New Roman"/>
                <w:sz w:val="16"/>
                <w:szCs w:val="16"/>
              </w:rPr>
              <w:t xml:space="preserve">Definición </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0051">
              <w:rPr>
                <w:rFonts w:ascii="Times New Roman" w:hAnsi="Times New Roman" w:cs="Times New Roman"/>
                <w:sz w:val="16"/>
                <w:szCs w:val="16"/>
              </w:rPr>
              <w:t>Muestra</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0051">
              <w:rPr>
                <w:rFonts w:ascii="Times New Roman" w:hAnsi="Times New Roman" w:cs="Times New Roman"/>
                <w:sz w:val="16"/>
                <w:szCs w:val="16"/>
              </w:rPr>
              <w:t xml:space="preserve">Especificación </w:t>
            </w:r>
          </w:p>
        </w:tc>
      </w:tr>
      <w:tr w:rsidR="00217536" w:rsidRPr="00B40051" w:rsidTr="0032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B5776" w:rsidRPr="00B40051" w:rsidRDefault="005B5776"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2010</w:t>
            </w:r>
          </w:p>
        </w:tc>
        <w:tc>
          <w:tcPr>
            <w:tcW w:w="0" w:type="auto"/>
            <w:shd w:val="clear" w:color="auto" w:fill="auto"/>
          </w:tcPr>
          <w:p w:rsidR="005B5776" w:rsidRPr="00B40051" w:rsidRDefault="005B5776"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roofErr w:type="spellStart"/>
            <w:r w:rsidRPr="00B40051">
              <w:rPr>
                <w:rFonts w:cs="Times New Roman"/>
                <w:sz w:val="16"/>
                <w:szCs w:val="16"/>
              </w:rPr>
              <w:t>Gudynas</w:t>
            </w:r>
            <w:proofErr w:type="spellEnd"/>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i/>
                <w:sz w:val="16"/>
                <w:szCs w:val="16"/>
              </w:rPr>
              <w:t xml:space="preserve">Antropocentrismo. </w:t>
            </w:r>
            <w:r w:rsidRPr="00B40051">
              <w:rPr>
                <w:rFonts w:cs="Times New Roman"/>
                <w:sz w:val="16"/>
                <w:szCs w:val="16"/>
              </w:rPr>
              <w:t xml:space="preserve">“donde la naturaleza no tiene derechos propios, sino que éstos residen únicamente en las personas. Únicamente los seres humanos, en tanto cognoscentes y sintientes, son los agentes </w:t>
            </w:r>
            <w:r w:rsidRPr="00B40051">
              <w:rPr>
                <w:rFonts w:cs="Times New Roman"/>
                <w:sz w:val="16"/>
                <w:szCs w:val="16"/>
              </w:rPr>
              <w:lastRenderedPageBreak/>
              <w:t xml:space="preserve">morales que pueden otorgar esos valores, y discutir en los escenarios políticos sobre la administración del entorno.” (p. 48) “un modo de ser del mundo, una cosmovisión que expresa un tipo de </w:t>
            </w:r>
            <w:proofErr w:type="spellStart"/>
            <w:r w:rsidRPr="00B40051">
              <w:rPr>
                <w:rFonts w:cs="Times New Roman"/>
                <w:sz w:val="16"/>
                <w:szCs w:val="16"/>
              </w:rPr>
              <w:t>relacionalidad</w:t>
            </w:r>
            <w:proofErr w:type="spellEnd"/>
            <w:r w:rsidRPr="00B40051">
              <w:rPr>
                <w:rFonts w:cs="Times New Roman"/>
                <w:sz w:val="16"/>
                <w:szCs w:val="16"/>
              </w:rPr>
              <w:t xml:space="preserve"> que sustenta la dualidad naturaleza–sociedad. Las valoraciones se hacen de acuerdo al beneficio o ventaja humana, convirtiendo el ambiente en objetos, para instrumentarlos y manipularlos.” (p. 54)</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lastRenderedPageBreak/>
              <w:t xml:space="preserve">38 trabajos que se publicaron durante el periodo que va de 1972 a 2009 </w:t>
            </w:r>
          </w:p>
        </w:tc>
        <w:tc>
          <w:tcPr>
            <w:tcW w:w="0" w:type="auto"/>
            <w:shd w:val="clear" w:color="auto" w:fill="auto"/>
          </w:tcPr>
          <w:p w:rsidR="005B5776" w:rsidRPr="00B40051" w:rsidRDefault="0021753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La Teoría de las Representaciones Sociales (TRS) advertirían </w:t>
            </w:r>
            <w:r w:rsidR="005B5776" w:rsidRPr="00B40051">
              <w:rPr>
                <w:rFonts w:cs="Times New Roman"/>
                <w:sz w:val="16"/>
                <w:szCs w:val="16"/>
              </w:rPr>
              <w:t xml:space="preserve">construcciones jurídicas </w:t>
            </w:r>
            <w:r w:rsidR="005B5776" w:rsidRPr="00B40051">
              <w:rPr>
                <w:rFonts w:cs="Times New Roman"/>
                <w:sz w:val="16"/>
                <w:szCs w:val="16"/>
              </w:rPr>
              <w:lastRenderedPageBreak/>
              <w:t xml:space="preserve">para atribuir derechos a la humanidad en menoscabo de los derechos de las demás especies a reproducirse y coexistir </w:t>
            </w:r>
          </w:p>
        </w:tc>
      </w:tr>
      <w:tr w:rsidR="00217536" w:rsidRPr="00B40051" w:rsidTr="003219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B5776" w:rsidRPr="00B40051" w:rsidRDefault="005B5776"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lastRenderedPageBreak/>
              <w:t>2010</w:t>
            </w:r>
          </w:p>
        </w:tc>
        <w:tc>
          <w:tcPr>
            <w:tcW w:w="0" w:type="auto"/>
            <w:shd w:val="clear" w:color="auto" w:fill="auto"/>
          </w:tcPr>
          <w:p w:rsidR="005B5776" w:rsidRPr="00B40051" w:rsidRDefault="005B5776"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roofErr w:type="spellStart"/>
            <w:r w:rsidRPr="00B40051">
              <w:rPr>
                <w:rFonts w:cs="Times New Roman"/>
                <w:sz w:val="16"/>
                <w:szCs w:val="16"/>
              </w:rPr>
              <w:t>Gudynas</w:t>
            </w:r>
            <w:proofErr w:type="spellEnd"/>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proofErr w:type="spellStart"/>
            <w:r w:rsidRPr="00B40051">
              <w:rPr>
                <w:rFonts w:cs="Times New Roman"/>
                <w:i/>
                <w:sz w:val="16"/>
                <w:szCs w:val="16"/>
              </w:rPr>
              <w:t>Biocentrismo</w:t>
            </w:r>
            <w:proofErr w:type="spellEnd"/>
            <w:r w:rsidRPr="00B40051">
              <w:rPr>
                <w:rFonts w:cs="Times New Roman"/>
                <w:i/>
                <w:sz w:val="16"/>
                <w:szCs w:val="16"/>
              </w:rPr>
              <w:t xml:space="preserve">. </w:t>
            </w:r>
            <w:r w:rsidRPr="00B40051">
              <w:rPr>
                <w:rFonts w:cs="Times New Roman"/>
                <w:sz w:val="16"/>
                <w:szCs w:val="16"/>
              </w:rPr>
              <w:t>“la vida en la Tierra tiene valores en sí misma y que esos valores son independientes de la utilidad del mundo no humano para los propósitos humanos.” (p. 50)</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 xml:space="preserve">38 trabajos que se publicaron durante el periodo que va de 1972 a 2009 </w:t>
            </w:r>
          </w:p>
        </w:tc>
        <w:tc>
          <w:tcPr>
            <w:tcW w:w="0" w:type="auto"/>
            <w:shd w:val="clear" w:color="auto" w:fill="auto"/>
          </w:tcPr>
          <w:p w:rsidR="005B5776" w:rsidRPr="00B40051" w:rsidRDefault="00217536"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 xml:space="preserve">La TRS trata de dar cuenta del </w:t>
            </w:r>
            <w:r w:rsidR="005B5776" w:rsidRPr="00B40051">
              <w:rPr>
                <w:rFonts w:cs="Times New Roman"/>
                <w:sz w:val="16"/>
                <w:szCs w:val="16"/>
              </w:rPr>
              <w:t>equilibr</w:t>
            </w:r>
            <w:r w:rsidRPr="00B40051">
              <w:rPr>
                <w:rFonts w:cs="Times New Roman"/>
                <w:sz w:val="16"/>
                <w:szCs w:val="16"/>
              </w:rPr>
              <w:t>io</w:t>
            </w:r>
            <w:r w:rsidR="005B5776" w:rsidRPr="00B40051">
              <w:rPr>
                <w:rFonts w:cs="Times New Roman"/>
                <w:sz w:val="16"/>
                <w:szCs w:val="16"/>
              </w:rPr>
              <w:t xml:space="preserve"> moral, ética y conductualmente e</w:t>
            </w:r>
            <w:r w:rsidRPr="00B40051">
              <w:rPr>
                <w:rFonts w:cs="Times New Roman"/>
                <w:sz w:val="16"/>
                <w:szCs w:val="16"/>
              </w:rPr>
              <w:t>ntorno a</w:t>
            </w:r>
            <w:r w:rsidR="005B5776" w:rsidRPr="00B40051">
              <w:rPr>
                <w:rFonts w:cs="Times New Roman"/>
                <w:sz w:val="16"/>
                <w:szCs w:val="16"/>
              </w:rPr>
              <w:t xml:space="preserve">l desbalance propiciado por el utilitarismo </w:t>
            </w:r>
          </w:p>
        </w:tc>
      </w:tr>
      <w:tr w:rsidR="00217536" w:rsidRPr="00B40051" w:rsidTr="0032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B5776" w:rsidRPr="00B40051" w:rsidRDefault="005B5776"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2012</w:t>
            </w:r>
          </w:p>
        </w:tc>
        <w:tc>
          <w:tcPr>
            <w:tcW w:w="0" w:type="auto"/>
            <w:shd w:val="clear" w:color="auto" w:fill="auto"/>
          </w:tcPr>
          <w:p w:rsidR="005B5776" w:rsidRPr="00B40051" w:rsidRDefault="005B5776"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Soto</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proofErr w:type="spellStart"/>
            <w:r w:rsidRPr="00B40051">
              <w:rPr>
                <w:rFonts w:cs="Times New Roman"/>
                <w:i/>
                <w:sz w:val="16"/>
                <w:szCs w:val="16"/>
              </w:rPr>
              <w:t>Ecofeminismo</w:t>
            </w:r>
            <w:proofErr w:type="spellEnd"/>
            <w:r w:rsidRPr="00B40051">
              <w:rPr>
                <w:rFonts w:cs="Times New Roman"/>
                <w:i/>
                <w:sz w:val="16"/>
                <w:szCs w:val="16"/>
              </w:rPr>
              <w:t xml:space="preserve">. </w:t>
            </w:r>
            <w:r w:rsidRPr="00B40051">
              <w:rPr>
                <w:rFonts w:cs="Times New Roman"/>
                <w:sz w:val="16"/>
                <w:szCs w:val="16"/>
              </w:rPr>
              <w:t>“Arguye que existe una correlación directa entre el antropocentrismo y el patriarcado, que, de la misma forma que ha sometido a la naturaleza, somete a la mujer.” (p. 12)</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50 fuentes relativas al </w:t>
            </w:r>
            <w:proofErr w:type="spellStart"/>
            <w:r w:rsidRPr="00B40051">
              <w:rPr>
                <w:rFonts w:cs="Times New Roman"/>
                <w:sz w:val="16"/>
                <w:szCs w:val="16"/>
              </w:rPr>
              <w:t>Biocentrismo</w:t>
            </w:r>
            <w:proofErr w:type="spellEnd"/>
            <w:r w:rsidRPr="00B40051">
              <w:rPr>
                <w:rFonts w:cs="Times New Roman"/>
                <w:sz w:val="16"/>
                <w:szCs w:val="16"/>
              </w:rPr>
              <w:t xml:space="preserve"> durante el periodo que va de 1971 a 2011</w:t>
            </w:r>
          </w:p>
        </w:tc>
        <w:tc>
          <w:tcPr>
            <w:tcW w:w="0" w:type="auto"/>
            <w:shd w:val="clear" w:color="auto" w:fill="auto"/>
          </w:tcPr>
          <w:p w:rsidR="005B5776" w:rsidRPr="00B40051" w:rsidRDefault="0021753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La TRS </w:t>
            </w:r>
            <w:r w:rsidR="005B5776" w:rsidRPr="00B40051">
              <w:rPr>
                <w:rFonts w:cs="Times New Roman"/>
                <w:sz w:val="16"/>
                <w:szCs w:val="16"/>
              </w:rPr>
              <w:t>explorarían el paralelismo entre la dominación de la naturaleza y la dominación de la mujer bajo un patriarcado</w:t>
            </w:r>
          </w:p>
        </w:tc>
      </w:tr>
      <w:tr w:rsidR="00217536" w:rsidRPr="00B40051" w:rsidTr="003219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B5776" w:rsidRPr="00B40051" w:rsidRDefault="005B5776"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2013</w:t>
            </w:r>
          </w:p>
        </w:tc>
        <w:tc>
          <w:tcPr>
            <w:tcW w:w="0" w:type="auto"/>
            <w:shd w:val="clear" w:color="auto" w:fill="auto"/>
          </w:tcPr>
          <w:p w:rsidR="005B5776" w:rsidRPr="00B40051" w:rsidRDefault="005B5776"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Flores</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i/>
                <w:sz w:val="16"/>
                <w:szCs w:val="16"/>
              </w:rPr>
              <w:t>Antropocentrismo</w:t>
            </w:r>
            <w:r w:rsidRPr="00B40051">
              <w:rPr>
                <w:rFonts w:cs="Times New Roman"/>
                <w:sz w:val="16"/>
                <w:szCs w:val="16"/>
              </w:rPr>
              <w:t>. “toman en cuenta los bienes y productos que benefician al ser humano, las relaciones con el medio ambiente al buscar la satisfacción de sus necesidades.” (p. 11)</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30 investigaciones llevadas a cabo en Brasil y México durante el periodo que va de 1973 a 2014</w:t>
            </w:r>
          </w:p>
        </w:tc>
        <w:tc>
          <w:tcPr>
            <w:tcW w:w="0" w:type="auto"/>
            <w:shd w:val="clear" w:color="auto" w:fill="auto"/>
          </w:tcPr>
          <w:p w:rsidR="005B5776" w:rsidRPr="00B40051" w:rsidRDefault="00217536"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La TRS plantearía que el antropocentrismo</w:t>
            </w:r>
            <w:r w:rsidR="005B5776" w:rsidRPr="00B40051">
              <w:rPr>
                <w:rFonts w:cs="Times New Roman"/>
                <w:sz w:val="16"/>
                <w:szCs w:val="16"/>
              </w:rPr>
              <w:t xml:space="preserve"> </w:t>
            </w:r>
            <w:r w:rsidRPr="00B40051">
              <w:rPr>
                <w:rFonts w:cs="Times New Roman"/>
                <w:sz w:val="16"/>
                <w:szCs w:val="16"/>
              </w:rPr>
              <w:t>es</w:t>
            </w:r>
            <w:r w:rsidR="005B5776" w:rsidRPr="00B40051">
              <w:rPr>
                <w:rFonts w:cs="Times New Roman"/>
                <w:sz w:val="16"/>
                <w:szCs w:val="16"/>
              </w:rPr>
              <w:t xml:space="preserve"> </w:t>
            </w:r>
            <w:r w:rsidRPr="00B40051">
              <w:rPr>
                <w:rFonts w:cs="Times New Roman"/>
                <w:sz w:val="16"/>
                <w:szCs w:val="16"/>
              </w:rPr>
              <w:t xml:space="preserve">una </w:t>
            </w:r>
            <w:r w:rsidR="005B5776" w:rsidRPr="00B40051">
              <w:rPr>
                <w:rFonts w:cs="Times New Roman"/>
                <w:sz w:val="16"/>
                <w:szCs w:val="16"/>
              </w:rPr>
              <w:t>construcci</w:t>
            </w:r>
            <w:r w:rsidRPr="00B40051">
              <w:rPr>
                <w:rFonts w:cs="Times New Roman"/>
                <w:sz w:val="16"/>
                <w:szCs w:val="16"/>
              </w:rPr>
              <w:t>ón</w:t>
            </w:r>
            <w:r w:rsidR="005B5776" w:rsidRPr="00B40051">
              <w:rPr>
                <w:rFonts w:cs="Times New Roman"/>
                <w:sz w:val="16"/>
                <w:szCs w:val="16"/>
              </w:rPr>
              <w:t xml:space="preserve"> local que desarrolla percepciones de utilidad sobre los recursos del entorno que son comunes a otros grupos </w:t>
            </w:r>
          </w:p>
        </w:tc>
      </w:tr>
      <w:tr w:rsidR="00217536" w:rsidRPr="00B40051" w:rsidTr="0032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B5776" w:rsidRPr="00B40051" w:rsidRDefault="005B5776"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2013</w:t>
            </w:r>
          </w:p>
        </w:tc>
        <w:tc>
          <w:tcPr>
            <w:tcW w:w="0" w:type="auto"/>
            <w:shd w:val="clear" w:color="auto" w:fill="auto"/>
          </w:tcPr>
          <w:p w:rsidR="005B5776" w:rsidRPr="00B40051" w:rsidRDefault="005B5776"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Gomera, </w:t>
            </w:r>
            <w:proofErr w:type="spellStart"/>
            <w:r w:rsidRPr="00B40051">
              <w:rPr>
                <w:rFonts w:cs="Times New Roman"/>
                <w:sz w:val="16"/>
                <w:szCs w:val="16"/>
              </w:rPr>
              <w:t>Villamandos</w:t>
            </w:r>
            <w:proofErr w:type="spellEnd"/>
            <w:r w:rsidRPr="00B40051">
              <w:rPr>
                <w:rFonts w:cs="Times New Roman"/>
                <w:sz w:val="16"/>
                <w:szCs w:val="16"/>
              </w:rPr>
              <w:t xml:space="preserve"> y Vaquero</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i/>
                <w:sz w:val="16"/>
                <w:szCs w:val="16"/>
              </w:rPr>
              <w:t xml:space="preserve">Conciencia ambiental. </w:t>
            </w:r>
            <w:r w:rsidRPr="00B40051">
              <w:rPr>
                <w:rFonts w:cs="Times New Roman"/>
                <w:sz w:val="16"/>
                <w:szCs w:val="16"/>
              </w:rPr>
              <w:t>“Un sistema de vivencias conocimientos y experiencias que el individuo utiliza activamente en su relación con el medio ambiente.” (p. 150)</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26 artículos empíricos relacionados con la medición del Nuevo Paradigma Ambiental durante el periodo que va de 1973 a 2012</w:t>
            </w:r>
          </w:p>
        </w:tc>
        <w:tc>
          <w:tcPr>
            <w:tcW w:w="0" w:type="auto"/>
            <w:shd w:val="clear" w:color="auto" w:fill="auto"/>
          </w:tcPr>
          <w:p w:rsidR="005B5776" w:rsidRPr="00B40051" w:rsidRDefault="0021753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La TRS </w:t>
            </w:r>
            <w:r w:rsidR="005B5776" w:rsidRPr="00B40051">
              <w:rPr>
                <w:rFonts w:cs="Times New Roman"/>
                <w:sz w:val="16"/>
                <w:szCs w:val="16"/>
              </w:rPr>
              <w:t>describiría cognitivamente la relación entre individuos con respecto a su entorno</w:t>
            </w:r>
          </w:p>
        </w:tc>
      </w:tr>
      <w:tr w:rsidR="00217536" w:rsidRPr="00B40051" w:rsidTr="003219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B5776" w:rsidRPr="00B40051" w:rsidRDefault="005B5776"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2014</w:t>
            </w:r>
          </w:p>
        </w:tc>
        <w:tc>
          <w:tcPr>
            <w:tcW w:w="0" w:type="auto"/>
            <w:shd w:val="clear" w:color="auto" w:fill="auto"/>
          </w:tcPr>
          <w:p w:rsidR="005B5776" w:rsidRPr="00B40051" w:rsidRDefault="005B5776"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Anaya</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i/>
                <w:sz w:val="16"/>
                <w:szCs w:val="16"/>
              </w:rPr>
            </w:pPr>
            <w:r w:rsidRPr="00B40051">
              <w:rPr>
                <w:rFonts w:cs="Times New Roman"/>
                <w:i/>
                <w:sz w:val="16"/>
                <w:szCs w:val="16"/>
              </w:rPr>
              <w:t>Antropocentrismo</w:t>
            </w:r>
            <w:r w:rsidRPr="00B40051">
              <w:rPr>
                <w:rFonts w:cs="Times New Roman"/>
                <w:sz w:val="16"/>
                <w:szCs w:val="16"/>
              </w:rPr>
              <w:t>. “viene a indicar una idea ingenua ante la realidad de las cosas. No es la especie humana como tal en el centro del mundo al que pertenecemos, sino que el centro lo constituyen sólo algunos miembros de la especie (y no muchos) que se sobreponen a los demás. (…) en la comunidad humana como la unidad, el centro de elementos diversos: los seres humanos, en nuestras diversidades culturales y sociales, nos agrupamos alrededor de un centro –lo humano de todos y cada uno– en la unidad y no en la unanimidad.” (p. 7)</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15 ensayos durante el periodo que va de 1975 a 2013</w:t>
            </w:r>
          </w:p>
        </w:tc>
        <w:tc>
          <w:tcPr>
            <w:tcW w:w="0" w:type="auto"/>
            <w:shd w:val="clear" w:color="auto" w:fill="auto"/>
          </w:tcPr>
          <w:p w:rsidR="005B5776" w:rsidRPr="00B40051" w:rsidRDefault="00217536"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La TRS señalaría que el antropocentrismo es una</w:t>
            </w:r>
            <w:r w:rsidR="005B5776" w:rsidRPr="00B40051">
              <w:rPr>
                <w:rFonts w:cs="Times New Roman"/>
                <w:sz w:val="16"/>
                <w:szCs w:val="16"/>
              </w:rPr>
              <w:t xml:space="preserve"> construcci</w:t>
            </w:r>
            <w:r w:rsidRPr="00B40051">
              <w:rPr>
                <w:rFonts w:cs="Times New Roman"/>
                <w:sz w:val="16"/>
                <w:szCs w:val="16"/>
              </w:rPr>
              <w:t>ón</w:t>
            </w:r>
            <w:r w:rsidR="005B5776" w:rsidRPr="00B40051">
              <w:rPr>
                <w:rFonts w:cs="Times New Roman"/>
                <w:sz w:val="16"/>
                <w:szCs w:val="16"/>
              </w:rPr>
              <w:t xml:space="preserve"> global para orientar la culpabilidad y responsabilidad de una élite con respecto al deterioro ambiental y sus efectos sobre la salud pública </w:t>
            </w:r>
          </w:p>
        </w:tc>
      </w:tr>
      <w:tr w:rsidR="00217536" w:rsidRPr="00B40051" w:rsidTr="0032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B5776" w:rsidRPr="00B40051" w:rsidRDefault="005B5776"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t>2014</w:t>
            </w:r>
          </w:p>
        </w:tc>
        <w:tc>
          <w:tcPr>
            <w:tcW w:w="0" w:type="auto"/>
            <w:shd w:val="clear" w:color="auto" w:fill="auto"/>
          </w:tcPr>
          <w:p w:rsidR="005B5776" w:rsidRPr="00B40051" w:rsidRDefault="005B5776" w:rsidP="003A0043">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 xml:space="preserve">Carreón, Hernández, García, Bustos, </w:t>
            </w:r>
            <w:r w:rsidRPr="00B40051">
              <w:rPr>
                <w:rFonts w:cs="Times New Roman"/>
                <w:sz w:val="16"/>
                <w:szCs w:val="16"/>
              </w:rPr>
              <w:lastRenderedPageBreak/>
              <w:t>Morales y Aguilar</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i/>
                <w:sz w:val="16"/>
                <w:szCs w:val="16"/>
              </w:rPr>
              <w:lastRenderedPageBreak/>
              <w:t xml:space="preserve">Antropocentrismo. </w:t>
            </w:r>
            <w:r w:rsidRPr="00B40051">
              <w:rPr>
                <w:rFonts w:cs="Times New Roman"/>
                <w:sz w:val="16"/>
                <w:szCs w:val="16"/>
              </w:rPr>
              <w:t xml:space="preserve">“Los recursos son considerados como un servicio exclusivo para las necesidades humanas actuales sin importar las capacidades de las generaciones humanas </w:t>
            </w:r>
            <w:proofErr w:type="gramStart"/>
            <w:r w:rsidRPr="00B40051">
              <w:rPr>
                <w:rFonts w:cs="Times New Roman"/>
                <w:sz w:val="16"/>
                <w:szCs w:val="16"/>
              </w:rPr>
              <w:t>posteriores</w:t>
            </w:r>
            <w:proofErr w:type="gramEnd"/>
            <w:r w:rsidRPr="00B40051">
              <w:rPr>
                <w:rFonts w:cs="Times New Roman"/>
                <w:sz w:val="16"/>
                <w:szCs w:val="16"/>
              </w:rPr>
              <w:t xml:space="preserve"> así como las </w:t>
            </w:r>
            <w:r w:rsidRPr="00B40051">
              <w:rPr>
                <w:rFonts w:cs="Times New Roman"/>
                <w:sz w:val="16"/>
                <w:szCs w:val="16"/>
              </w:rPr>
              <w:lastRenderedPageBreak/>
              <w:t>necesidades de las especies actuales y futuras.” (p. 9)</w:t>
            </w:r>
          </w:p>
        </w:tc>
        <w:tc>
          <w:tcPr>
            <w:tcW w:w="0" w:type="auto"/>
            <w:shd w:val="clear" w:color="auto" w:fill="auto"/>
          </w:tcPr>
          <w:p w:rsidR="005B5776" w:rsidRPr="00B40051" w:rsidRDefault="005B577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lastRenderedPageBreak/>
              <w:t>50 fuentes relativas al antropocentrismo durante el periodo que va de 1995 a 2013</w:t>
            </w:r>
          </w:p>
        </w:tc>
        <w:tc>
          <w:tcPr>
            <w:tcW w:w="0" w:type="auto"/>
            <w:shd w:val="clear" w:color="auto" w:fill="auto"/>
          </w:tcPr>
          <w:p w:rsidR="005B5776" w:rsidRPr="00B40051" w:rsidRDefault="00217536" w:rsidP="003A004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B40051">
              <w:rPr>
                <w:rFonts w:cs="Times New Roman"/>
                <w:sz w:val="16"/>
                <w:szCs w:val="16"/>
              </w:rPr>
              <w:t>La TRS advertiría</w:t>
            </w:r>
            <w:r w:rsidR="005B5776" w:rsidRPr="00B40051">
              <w:rPr>
                <w:rFonts w:cs="Times New Roman"/>
                <w:sz w:val="16"/>
                <w:szCs w:val="16"/>
              </w:rPr>
              <w:t xml:space="preserve"> que los recursos al ser transformados en servicios públicos no sólo son </w:t>
            </w:r>
            <w:r w:rsidR="005B5776" w:rsidRPr="00B40051">
              <w:rPr>
                <w:rFonts w:cs="Times New Roman"/>
                <w:sz w:val="16"/>
                <w:szCs w:val="16"/>
              </w:rPr>
              <w:lastRenderedPageBreak/>
              <w:t xml:space="preserve">exclusivos de la especie humana, sino sólo de quienes pueden costear su valor de uso y valor de cambio </w:t>
            </w:r>
          </w:p>
        </w:tc>
      </w:tr>
      <w:tr w:rsidR="00217536" w:rsidRPr="00B40051" w:rsidTr="003219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6025" w:rsidRPr="00B40051" w:rsidRDefault="00E76025" w:rsidP="003A0043">
            <w:pPr>
              <w:spacing w:before="100" w:beforeAutospacing="1" w:after="100" w:afterAutospacing="1" w:line="360" w:lineRule="auto"/>
              <w:jc w:val="center"/>
              <w:rPr>
                <w:rFonts w:ascii="Times New Roman" w:hAnsi="Times New Roman" w:cs="Times New Roman"/>
                <w:sz w:val="16"/>
                <w:szCs w:val="16"/>
              </w:rPr>
            </w:pPr>
            <w:r w:rsidRPr="00B40051">
              <w:rPr>
                <w:rFonts w:ascii="Times New Roman" w:hAnsi="Times New Roman" w:cs="Times New Roman"/>
                <w:sz w:val="16"/>
                <w:szCs w:val="16"/>
              </w:rPr>
              <w:lastRenderedPageBreak/>
              <w:t>2013</w:t>
            </w:r>
          </w:p>
        </w:tc>
        <w:tc>
          <w:tcPr>
            <w:tcW w:w="0" w:type="auto"/>
            <w:shd w:val="clear" w:color="auto" w:fill="auto"/>
          </w:tcPr>
          <w:p w:rsidR="00E76025" w:rsidRPr="00B40051" w:rsidRDefault="00E76025" w:rsidP="003A0043">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Pérez y Soler</w:t>
            </w:r>
          </w:p>
        </w:tc>
        <w:tc>
          <w:tcPr>
            <w:tcW w:w="0" w:type="auto"/>
            <w:shd w:val="clear" w:color="auto" w:fill="auto"/>
          </w:tcPr>
          <w:p w:rsidR="00E76025" w:rsidRPr="00B40051" w:rsidRDefault="000376D3"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“El antropocentrismo se basa en el dualismo cultura/naturaleza, mientras que en el etnocentrismo parte de los pares moderno/ no moderno, desarrollo/atraso, humano/ no humano (o sub humano) y el androcentrismo de los dualismos asociados a lo masculino/femenino, público/privado, y razón/emoción entre otros. Todos estos dualismos son constitutivos entre si y (re) producen una compleja matriz de relaciones de poder/dominación/resistencia que normaliza los privilegios de las personas favorecidas también en lo más concreto y cotidiano de la vida humana en su dimensión simbólica y material.” (p. 100)</w:t>
            </w:r>
          </w:p>
        </w:tc>
        <w:tc>
          <w:tcPr>
            <w:tcW w:w="0" w:type="auto"/>
            <w:shd w:val="clear" w:color="auto" w:fill="auto"/>
          </w:tcPr>
          <w:p w:rsidR="00E76025" w:rsidRPr="00B40051" w:rsidRDefault="000376D3"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 xml:space="preserve">50 fuentes relativas a los dualismos que se incluyeron durante el periodo que va de </w:t>
            </w:r>
            <w:r w:rsidR="00217536" w:rsidRPr="00B40051">
              <w:rPr>
                <w:rFonts w:cs="Times New Roman"/>
                <w:sz w:val="16"/>
                <w:szCs w:val="16"/>
              </w:rPr>
              <w:t>1984 a 2013</w:t>
            </w:r>
          </w:p>
        </w:tc>
        <w:tc>
          <w:tcPr>
            <w:tcW w:w="0" w:type="auto"/>
            <w:shd w:val="clear" w:color="auto" w:fill="auto"/>
          </w:tcPr>
          <w:p w:rsidR="00E76025" w:rsidRPr="00B40051" w:rsidRDefault="00217536" w:rsidP="003A004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B40051">
              <w:rPr>
                <w:rFonts w:cs="Times New Roman"/>
                <w:sz w:val="16"/>
                <w:szCs w:val="16"/>
              </w:rPr>
              <w:t xml:space="preserve">La TRS señalaría que </w:t>
            </w:r>
            <w:r w:rsidR="00032E1F" w:rsidRPr="00B40051">
              <w:rPr>
                <w:rFonts w:cs="Times New Roman"/>
                <w:sz w:val="16"/>
                <w:szCs w:val="16"/>
              </w:rPr>
              <w:t>los dualismos son herramientas que facilitan la comprensión de la realidad y posicionan a los actores en un grupo al que pertenecen o quieren pertenecer</w:t>
            </w:r>
          </w:p>
        </w:tc>
      </w:tr>
    </w:tbl>
    <w:p w:rsidR="00857E9D" w:rsidRPr="00560960" w:rsidRDefault="0032191B" w:rsidP="003A0043">
      <w:pPr>
        <w:spacing w:before="100" w:beforeAutospacing="1" w:after="100" w:afterAutospacing="1" w:line="360" w:lineRule="auto"/>
        <w:ind w:left="567" w:hanging="567"/>
        <w:jc w:val="both"/>
        <w:rPr>
          <w:rFonts w:cs="Times New Roman"/>
          <w:szCs w:val="24"/>
        </w:rPr>
      </w:pPr>
      <w:r w:rsidRPr="00560960">
        <w:rPr>
          <w:rFonts w:cs="Times New Roman"/>
          <w:szCs w:val="24"/>
        </w:rPr>
        <w:t>Fuente: Elaborada con los hallazgos del estudio</w:t>
      </w:r>
    </w:p>
    <w:sectPr w:rsidR="00857E9D" w:rsidRPr="00560960" w:rsidSect="003A0043">
      <w:type w:val="continuous"/>
      <w:pgSz w:w="12242" w:h="15842" w:code="11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641" w:rsidRDefault="00624641" w:rsidP="00110BB7">
      <w:pPr>
        <w:spacing w:after="0" w:line="240" w:lineRule="auto"/>
      </w:pPr>
      <w:r>
        <w:separator/>
      </w:r>
    </w:p>
  </w:endnote>
  <w:endnote w:type="continuationSeparator" w:id="0">
    <w:p w:rsidR="00624641" w:rsidRDefault="00624641" w:rsidP="0011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641" w:rsidRDefault="00624641" w:rsidP="00110BB7">
      <w:pPr>
        <w:spacing w:after="0" w:line="240" w:lineRule="auto"/>
      </w:pPr>
      <w:r>
        <w:separator/>
      </w:r>
    </w:p>
  </w:footnote>
  <w:footnote w:type="continuationSeparator" w:id="0">
    <w:p w:rsidR="00624641" w:rsidRDefault="00624641" w:rsidP="00110BB7">
      <w:pPr>
        <w:spacing w:after="0" w:line="240" w:lineRule="auto"/>
      </w:pPr>
      <w:r>
        <w:continuationSeparator/>
      </w:r>
    </w:p>
  </w:footnote>
  <w:footnote w:id="1">
    <w:p w:rsidR="0083320E" w:rsidRPr="0083320E" w:rsidRDefault="0083320E" w:rsidP="0083320E">
      <w:pPr>
        <w:pStyle w:val="Textonotapie"/>
        <w:jc w:val="both"/>
        <w:rPr>
          <w:sz w:val="16"/>
          <w:szCs w:val="16"/>
        </w:rPr>
      </w:pPr>
      <w:r w:rsidRPr="0083320E">
        <w:rPr>
          <w:rStyle w:val="Refdenotaalpie"/>
          <w:sz w:val="16"/>
          <w:szCs w:val="16"/>
        </w:rPr>
        <w:footnoteRef/>
      </w:r>
      <w:r w:rsidRPr="0083320E">
        <w:rPr>
          <w:sz w:val="16"/>
          <w:szCs w:val="16"/>
        </w:rPr>
        <w:t xml:space="preserve"> Doctor en Psicología, Profesor de Tiempo Completo, UPN, Chihuahua: </w:t>
      </w:r>
      <w:hyperlink r:id="rId1" w:history="1">
        <w:r w:rsidRPr="0083320E">
          <w:rPr>
            <w:rStyle w:val="Hipervnculo"/>
            <w:sz w:val="16"/>
            <w:szCs w:val="16"/>
          </w:rPr>
          <w:t>galimond@upn.mx</w:t>
        </w:r>
      </w:hyperlink>
      <w:r w:rsidRPr="0083320E">
        <w:rPr>
          <w:sz w:val="16"/>
          <w:szCs w:val="16"/>
        </w:rPr>
        <w:t xml:space="preserve"> </w:t>
      </w:r>
    </w:p>
  </w:footnote>
  <w:footnote w:id="2">
    <w:p w:rsidR="0083320E" w:rsidRPr="0083320E" w:rsidRDefault="0083320E" w:rsidP="0083320E">
      <w:pPr>
        <w:pStyle w:val="Textonotapie"/>
        <w:jc w:val="both"/>
        <w:rPr>
          <w:sz w:val="16"/>
          <w:szCs w:val="16"/>
        </w:rPr>
      </w:pPr>
      <w:r w:rsidRPr="0083320E">
        <w:rPr>
          <w:rStyle w:val="Refdenotaalpie"/>
          <w:sz w:val="16"/>
          <w:szCs w:val="16"/>
        </w:rPr>
        <w:footnoteRef/>
      </w:r>
      <w:r w:rsidRPr="0083320E">
        <w:rPr>
          <w:sz w:val="16"/>
          <w:szCs w:val="16"/>
        </w:rPr>
        <w:t xml:space="preserve"> Doctora en Psicología, Profesora Investigadora, UAM, Azcapotzalco: </w:t>
      </w:r>
      <w:hyperlink r:id="rId2" w:history="1">
        <w:r w:rsidRPr="0083320E">
          <w:rPr>
            <w:rStyle w:val="Hipervnculo"/>
            <w:sz w:val="16"/>
            <w:szCs w:val="16"/>
          </w:rPr>
          <w:t>mjn@xanum-uam.mx</w:t>
        </w:r>
      </w:hyperlink>
      <w:r w:rsidRPr="0083320E">
        <w:rPr>
          <w:sz w:val="16"/>
          <w:szCs w:val="16"/>
        </w:rPr>
        <w:t xml:space="preserve"> </w:t>
      </w:r>
    </w:p>
  </w:footnote>
  <w:footnote w:id="3">
    <w:p w:rsidR="0083320E" w:rsidRPr="0083320E" w:rsidRDefault="0083320E" w:rsidP="0083320E">
      <w:pPr>
        <w:pStyle w:val="Textonotapie"/>
        <w:jc w:val="both"/>
        <w:rPr>
          <w:sz w:val="16"/>
          <w:szCs w:val="16"/>
        </w:rPr>
      </w:pPr>
      <w:r w:rsidRPr="0083320E">
        <w:rPr>
          <w:rStyle w:val="Refdenotaalpie"/>
          <w:sz w:val="16"/>
          <w:szCs w:val="16"/>
        </w:rPr>
        <w:footnoteRef/>
      </w:r>
      <w:r w:rsidRPr="0083320E">
        <w:rPr>
          <w:sz w:val="16"/>
          <w:szCs w:val="16"/>
        </w:rPr>
        <w:t xml:space="preserve"> Doctor en Psicología, Profesor de Carrera Titular “C”, UNAM, Zaragoza: </w:t>
      </w:r>
      <w:hyperlink r:id="rId3" w:history="1">
        <w:r w:rsidRPr="0083320E">
          <w:rPr>
            <w:rStyle w:val="Hipervnculo"/>
            <w:sz w:val="16"/>
            <w:szCs w:val="16"/>
          </w:rPr>
          <w:t>marcos.bustos@unam.mx</w:t>
        </w:r>
      </w:hyperlink>
      <w:r w:rsidRPr="0083320E">
        <w:rPr>
          <w:sz w:val="16"/>
          <w:szCs w:val="16"/>
        </w:rPr>
        <w:t xml:space="preserve"> </w:t>
      </w:r>
    </w:p>
  </w:footnote>
  <w:footnote w:id="4">
    <w:p w:rsidR="0083320E" w:rsidRPr="0083320E" w:rsidRDefault="0083320E" w:rsidP="0083320E">
      <w:pPr>
        <w:pStyle w:val="Textonotapie"/>
        <w:jc w:val="both"/>
        <w:rPr>
          <w:sz w:val="16"/>
          <w:szCs w:val="16"/>
        </w:rPr>
      </w:pPr>
      <w:r w:rsidRPr="0083320E">
        <w:rPr>
          <w:rStyle w:val="Refdenotaalpie"/>
          <w:sz w:val="16"/>
          <w:szCs w:val="16"/>
        </w:rPr>
        <w:footnoteRef/>
      </w:r>
      <w:r w:rsidRPr="0083320E">
        <w:rPr>
          <w:sz w:val="16"/>
          <w:szCs w:val="16"/>
        </w:rPr>
        <w:t xml:space="preserve"> Doctora en Geografía, Profesora de Asignatura, UAEMEX, Chimalhuacán: </w:t>
      </w:r>
      <w:hyperlink r:id="rId4" w:history="1">
        <w:r w:rsidRPr="0083320E">
          <w:rPr>
            <w:rStyle w:val="Hipervnculo"/>
            <w:sz w:val="16"/>
            <w:szCs w:val="16"/>
          </w:rPr>
          <w:t>blriverav@uaemex.mx</w:t>
        </w:r>
      </w:hyperlink>
      <w:r w:rsidRPr="0083320E">
        <w:rPr>
          <w:sz w:val="16"/>
          <w:szCs w:val="16"/>
        </w:rPr>
        <w:t xml:space="preserve"> </w:t>
      </w:r>
    </w:p>
  </w:footnote>
  <w:footnote w:id="5">
    <w:p w:rsidR="0083320E" w:rsidRDefault="0083320E" w:rsidP="0083320E">
      <w:pPr>
        <w:pStyle w:val="Textonotapie"/>
        <w:jc w:val="both"/>
      </w:pPr>
      <w:r w:rsidRPr="0083320E">
        <w:rPr>
          <w:rStyle w:val="Refdenotaalpie"/>
          <w:sz w:val="16"/>
          <w:szCs w:val="16"/>
        </w:rPr>
        <w:footnoteRef/>
      </w:r>
      <w:r w:rsidRPr="0083320E">
        <w:rPr>
          <w:sz w:val="16"/>
          <w:szCs w:val="16"/>
        </w:rPr>
        <w:t xml:space="preserve"> Estudios de Doctorado en Psicología, Profesor de Asignatura, UAEMEX, Huehuetoca: </w:t>
      </w:r>
      <w:hyperlink r:id="rId5" w:history="1">
        <w:r w:rsidRPr="0083320E">
          <w:rPr>
            <w:rStyle w:val="Hipervnculo"/>
            <w:sz w:val="16"/>
            <w:szCs w:val="16"/>
          </w:rPr>
          <w:t>cgarcial213@profesor.uaemex.mx</w:t>
        </w:r>
      </w:hyperlink>
      <w:r w:rsidRPr="0083320E">
        <w:rPr>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0162"/>
    <w:rsid w:val="00027A18"/>
    <w:rsid w:val="000302FB"/>
    <w:rsid w:val="00032E1F"/>
    <w:rsid w:val="000376D3"/>
    <w:rsid w:val="000809CB"/>
    <w:rsid w:val="00080EDC"/>
    <w:rsid w:val="00081580"/>
    <w:rsid w:val="000C186B"/>
    <w:rsid w:val="000F4FA2"/>
    <w:rsid w:val="00110BB7"/>
    <w:rsid w:val="00144570"/>
    <w:rsid w:val="0015024C"/>
    <w:rsid w:val="00153AB7"/>
    <w:rsid w:val="00161425"/>
    <w:rsid w:val="001642BB"/>
    <w:rsid w:val="00171518"/>
    <w:rsid w:val="00177BB1"/>
    <w:rsid w:val="001D0999"/>
    <w:rsid w:val="002069DA"/>
    <w:rsid w:val="002149EE"/>
    <w:rsid w:val="00216957"/>
    <w:rsid w:val="00217536"/>
    <w:rsid w:val="0025514A"/>
    <w:rsid w:val="002A4420"/>
    <w:rsid w:val="003075C2"/>
    <w:rsid w:val="0032191B"/>
    <w:rsid w:val="003308EB"/>
    <w:rsid w:val="003427B6"/>
    <w:rsid w:val="00343815"/>
    <w:rsid w:val="00380707"/>
    <w:rsid w:val="00383A3B"/>
    <w:rsid w:val="003902CF"/>
    <w:rsid w:val="003A0043"/>
    <w:rsid w:val="00450578"/>
    <w:rsid w:val="00455FD2"/>
    <w:rsid w:val="00476A83"/>
    <w:rsid w:val="004D21BA"/>
    <w:rsid w:val="004F5B18"/>
    <w:rsid w:val="004F5D5F"/>
    <w:rsid w:val="00507FA3"/>
    <w:rsid w:val="00514846"/>
    <w:rsid w:val="005413D9"/>
    <w:rsid w:val="00560960"/>
    <w:rsid w:val="00591E0A"/>
    <w:rsid w:val="005B5776"/>
    <w:rsid w:val="005D0162"/>
    <w:rsid w:val="00624641"/>
    <w:rsid w:val="0063510F"/>
    <w:rsid w:val="00636DF8"/>
    <w:rsid w:val="0064406D"/>
    <w:rsid w:val="00656A71"/>
    <w:rsid w:val="00662801"/>
    <w:rsid w:val="006836D1"/>
    <w:rsid w:val="006E1AA4"/>
    <w:rsid w:val="006E3B38"/>
    <w:rsid w:val="006E623A"/>
    <w:rsid w:val="00723201"/>
    <w:rsid w:val="00733D66"/>
    <w:rsid w:val="00736AC4"/>
    <w:rsid w:val="00772158"/>
    <w:rsid w:val="00775611"/>
    <w:rsid w:val="00784CA0"/>
    <w:rsid w:val="00787E52"/>
    <w:rsid w:val="007B4918"/>
    <w:rsid w:val="007C0A0C"/>
    <w:rsid w:val="007F74A2"/>
    <w:rsid w:val="008005CD"/>
    <w:rsid w:val="00805393"/>
    <w:rsid w:val="00810248"/>
    <w:rsid w:val="0083194A"/>
    <w:rsid w:val="0083320E"/>
    <w:rsid w:val="008402D5"/>
    <w:rsid w:val="00855142"/>
    <w:rsid w:val="00857E9D"/>
    <w:rsid w:val="0087171F"/>
    <w:rsid w:val="0088428F"/>
    <w:rsid w:val="008D01BF"/>
    <w:rsid w:val="008D444B"/>
    <w:rsid w:val="009226C5"/>
    <w:rsid w:val="00937945"/>
    <w:rsid w:val="009853FF"/>
    <w:rsid w:val="009B2783"/>
    <w:rsid w:val="009B5CDE"/>
    <w:rsid w:val="009D342A"/>
    <w:rsid w:val="009F1DF9"/>
    <w:rsid w:val="00A15F71"/>
    <w:rsid w:val="00A37D21"/>
    <w:rsid w:val="00A810C1"/>
    <w:rsid w:val="00AA6A5E"/>
    <w:rsid w:val="00AE02EE"/>
    <w:rsid w:val="00AE123C"/>
    <w:rsid w:val="00AE604E"/>
    <w:rsid w:val="00B40051"/>
    <w:rsid w:val="00B413C5"/>
    <w:rsid w:val="00B5358E"/>
    <w:rsid w:val="00B70E57"/>
    <w:rsid w:val="00B77F72"/>
    <w:rsid w:val="00C02712"/>
    <w:rsid w:val="00C202D7"/>
    <w:rsid w:val="00C427E0"/>
    <w:rsid w:val="00C67033"/>
    <w:rsid w:val="00C74A48"/>
    <w:rsid w:val="00CA5D04"/>
    <w:rsid w:val="00CB494A"/>
    <w:rsid w:val="00CC0327"/>
    <w:rsid w:val="00CC2762"/>
    <w:rsid w:val="00D23210"/>
    <w:rsid w:val="00D40F03"/>
    <w:rsid w:val="00D6192F"/>
    <w:rsid w:val="00D722FF"/>
    <w:rsid w:val="00D919CF"/>
    <w:rsid w:val="00DB35D8"/>
    <w:rsid w:val="00DC60CB"/>
    <w:rsid w:val="00DF616F"/>
    <w:rsid w:val="00E03F8E"/>
    <w:rsid w:val="00E24210"/>
    <w:rsid w:val="00E251AA"/>
    <w:rsid w:val="00E477EA"/>
    <w:rsid w:val="00E705E8"/>
    <w:rsid w:val="00E76025"/>
    <w:rsid w:val="00E835E4"/>
    <w:rsid w:val="00E90725"/>
    <w:rsid w:val="00F3543F"/>
    <w:rsid w:val="00FB4F8C"/>
    <w:rsid w:val="00FC39A2"/>
    <w:rsid w:val="00FD72BF"/>
    <w:rsid w:val="00FF7E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7853"/>
  <w15:docId w15:val="{B66CAD5D-A5E3-4300-A0C4-5232D041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4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7E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nhideWhenUsed/>
    <w:rsid w:val="00110BB7"/>
    <w:rPr>
      <w:color w:val="0000FF"/>
      <w:u w:val="single"/>
    </w:rPr>
  </w:style>
  <w:style w:type="paragraph" w:styleId="Textonotapie">
    <w:name w:val="footnote text"/>
    <w:basedOn w:val="Normal"/>
    <w:link w:val="TextonotapieCar"/>
    <w:uiPriority w:val="99"/>
    <w:semiHidden/>
    <w:unhideWhenUsed/>
    <w:rsid w:val="00110BB7"/>
    <w:pPr>
      <w:widowControl w:val="0"/>
      <w:spacing w:after="0" w:line="240" w:lineRule="auto"/>
    </w:pPr>
    <w:rPr>
      <w:rFonts w:eastAsia="Times New Roman" w:cs="Times New Roman"/>
      <w:sz w:val="20"/>
      <w:szCs w:val="20"/>
    </w:rPr>
  </w:style>
  <w:style w:type="character" w:customStyle="1" w:styleId="TextonotapieCar">
    <w:name w:val="Texto nota pie Car"/>
    <w:basedOn w:val="Fuentedeprrafopredeter"/>
    <w:link w:val="Textonotapie"/>
    <w:uiPriority w:val="99"/>
    <w:semiHidden/>
    <w:rsid w:val="00110BB7"/>
    <w:rPr>
      <w:rFonts w:eastAsia="Times New Roman" w:cs="Times New Roman"/>
      <w:sz w:val="20"/>
      <w:szCs w:val="20"/>
    </w:rPr>
  </w:style>
  <w:style w:type="character" w:styleId="Refdenotaalpie">
    <w:name w:val="footnote reference"/>
    <w:basedOn w:val="Fuentedeprrafopredeter"/>
    <w:uiPriority w:val="99"/>
    <w:semiHidden/>
    <w:unhideWhenUsed/>
    <w:rsid w:val="00110BB7"/>
    <w:rPr>
      <w:sz w:val="20"/>
      <w:vertAlign w:val="superscript"/>
    </w:rPr>
  </w:style>
  <w:style w:type="table" w:styleId="Tablanormal5">
    <w:name w:val="Plain Table 5"/>
    <w:basedOn w:val="Tablanormal"/>
    <w:uiPriority w:val="45"/>
    <w:rsid w:val="003219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493000">
      <w:bodyDiv w:val="1"/>
      <w:marLeft w:val="0"/>
      <w:marRight w:val="0"/>
      <w:marTop w:val="0"/>
      <w:marBottom w:val="0"/>
      <w:divBdr>
        <w:top w:val="none" w:sz="0" w:space="0" w:color="auto"/>
        <w:left w:val="none" w:sz="0" w:space="0" w:color="auto"/>
        <w:bottom w:val="none" w:sz="0" w:space="0" w:color="auto"/>
        <w:right w:val="none" w:sz="0" w:space="0" w:color="auto"/>
      </w:divBdr>
    </w:div>
    <w:div w:id="12732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marcos.bustos@unam.mx" TargetMode="External"/><Relationship Id="rId2" Type="http://schemas.openxmlformats.org/officeDocument/2006/relationships/hyperlink" Target="mailto:mjn@xanum-uam.mx" TargetMode="External"/><Relationship Id="rId1" Type="http://schemas.openxmlformats.org/officeDocument/2006/relationships/hyperlink" Target="mailto:galimond@upn.mx" TargetMode="External"/><Relationship Id="rId5" Type="http://schemas.openxmlformats.org/officeDocument/2006/relationships/hyperlink" Target="mailto:cgarcial213@profesor.uaemex.mx" TargetMode="External"/><Relationship Id="rId4" Type="http://schemas.openxmlformats.org/officeDocument/2006/relationships/hyperlink" Target="mailto:blriverav@uaemex.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626E-CD03-42C4-B819-17C3AAB7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14</Pages>
  <Words>4804</Words>
  <Characters>26425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TOSHIBA</cp:lastModifiedBy>
  <cp:revision>97</cp:revision>
  <dcterms:created xsi:type="dcterms:W3CDTF">2014-10-09T13:52:00Z</dcterms:created>
  <dcterms:modified xsi:type="dcterms:W3CDTF">2017-01-03T16:51:00Z</dcterms:modified>
</cp:coreProperties>
</file>